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4" w:rsidRPr="00CD2244" w:rsidRDefault="00CD2244" w:rsidP="00CD2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244">
        <w:rPr>
          <w:rFonts w:ascii="Times New Roman" w:hAnsi="Times New Roman" w:cs="Times New Roman"/>
          <w:b/>
          <w:sz w:val="28"/>
          <w:szCs w:val="28"/>
          <w:u w:val="single"/>
        </w:rPr>
        <w:t>Случаи проведения экспертизы</w:t>
      </w:r>
      <w:r w:rsidRPr="00CD22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проектной документации</w:t>
      </w:r>
    </w:p>
    <w:p w:rsidR="00CD2244" w:rsidRPr="00CD2244" w:rsidRDefault="00CD2244" w:rsidP="00CD2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>Экспертиза проектной документации по общему правилу проводится всегда</w:t>
      </w:r>
      <w:r>
        <w:rPr>
          <w:rFonts w:ascii="Times New Roman" w:hAnsi="Times New Roman" w:cs="Times New Roman"/>
          <w:sz w:val="28"/>
          <w:szCs w:val="28"/>
        </w:rPr>
        <w:t xml:space="preserve"> (ст. 49 Градостроительного кодекса Российской Федерации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</w:t>
      </w:r>
      <w:r w:rsidRPr="00CD2244">
        <w:rPr>
          <w:rFonts w:ascii="Times New Roman" w:hAnsi="Times New Roman" w:cs="Times New Roman"/>
          <w:sz w:val="28"/>
          <w:szCs w:val="28"/>
        </w:rPr>
        <w:t xml:space="preserve">, но есть ряд случаев, когда ее проводить не нужно. </w:t>
      </w:r>
      <w:r>
        <w:rPr>
          <w:rFonts w:ascii="Times New Roman" w:hAnsi="Times New Roman" w:cs="Times New Roman"/>
          <w:sz w:val="28"/>
          <w:szCs w:val="28"/>
        </w:rPr>
        <w:t xml:space="preserve">По видам </w:t>
      </w:r>
      <w:r w:rsidRPr="00CD2244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A60CAA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="00A60CAA" w:rsidRPr="00CD2244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(а также результатов инженерных изысканий, выполненных для подготовки такой проектной документации) </w:t>
      </w:r>
      <w:r>
        <w:rPr>
          <w:rFonts w:ascii="Times New Roman" w:hAnsi="Times New Roman" w:cs="Times New Roman"/>
          <w:sz w:val="28"/>
          <w:szCs w:val="28"/>
        </w:rPr>
        <w:t>разделяется на государственную и негосударственную экспертизу</w:t>
      </w:r>
      <w:r w:rsidRPr="00CD2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случаев </w:t>
      </w:r>
      <w:r w:rsidRPr="00CD2244">
        <w:rPr>
          <w:rFonts w:ascii="Times New Roman" w:hAnsi="Times New Roman" w:cs="Times New Roman"/>
          <w:sz w:val="28"/>
          <w:szCs w:val="28"/>
        </w:rPr>
        <w:t>обязательна именно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CD2244">
        <w:rPr>
          <w:rFonts w:ascii="Times New Roman" w:hAnsi="Times New Roman" w:cs="Times New Roman"/>
          <w:sz w:val="28"/>
          <w:szCs w:val="28"/>
        </w:rPr>
        <w:t xml:space="preserve">экспертиза, а в остальных случаях по выбору </w:t>
      </w:r>
      <w:r>
        <w:rPr>
          <w:rFonts w:ascii="Times New Roman" w:hAnsi="Times New Roman" w:cs="Times New Roman"/>
          <w:sz w:val="28"/>
          <w:szCs w:val="28"/>
        </w:rPr>
        <w:t xml:space="preserve">заказчика (застройщика) </w:t>
      </w:r>
      <w:r w:rsidRPr="00CD2244">
        <w:rPr>
          <w:rFonts w:ascii="Times New Roman" w:hAnsi="Times New Roman" w:cs="Times New Roman"/>
          <w:sz w:val="28"/>
          <w:szCs w:val="28"/>
        </w:rPr>
        <w:t xml:space="preserve">можно направить документы </w:t>
      </w:r>
      <w:r>
        <w:rPr>
          <w:rFonts w:ascii="Times New Roman" w:hAnsi="Times New Roman" w:cs="Times New Roman"/>
          <w:sz w:val="28"/>
          <w:szCs w:val="28"/>
        </w:rPr>
        <w:t>для прохождения государственной или негосударственной экспертизы</w:t>
      </w:r>
      <w:r w:rsidRPr="00CD2244">
        <w:rPr>
          <w:rFonts w:ascii="Times New Roman" w:hAnsi="Times New Roman" w:cs="Times New Roman"/>
          <w:sz w:val="28"/>
          <w:szCs w:val="28"/>
        </w:rPr>
        <w:t>.</w:t>
      </w:r>
    </w:p>
    <w:p w:rsid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>Также в отдельных случаях может потребоваться проведение государственной историко-культурной и государственной экологической экспертизы.</w:t>
      </w:r>
    </w:p>
    <w:p w:rsid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2244">
        <w:rPr>
          <w:rFonts w:ascii="Times New Roman" w:hAnsi="Times New Roman" w:cs="Times New Roman"/>
          <w:sz w:val="28"/>
          <w:szCs w:val="28"/>
        </w:rPr>
        <w:t xml:space="preserve">По общему правилу экспертиза проектной документации объектов капитального строительства (а также результатов инженерных изысканий, выполненных для подготовки такой проектной документации) необходима всегда. В первую очередь положительное заключение экспертизы проектной документации потребуется, чтобы получить 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2244">
        <w:rPr>
          <w:rFonts w:ascii="Times New Roman" w:hAnsi="Times New Roman" w:cs="Times New Roman"/>
          <w:sz w:val="28"/>
          <w:szCs w:val="28"/>
        </w:rPr>
        <w:t xml:space="preserve">(ч. 1 ст. 49, п. 4 ч. 7 ст. 51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 xml:space="preserve">Но есть случаи, когда экспертиза проектной документации не требуется (ч. 2, 3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РФ):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244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 входит в перечень объектов, в отношении проектной документации которых экспертиза не проводится. Например, не предназначенные для проживания граждан и осуществления производственной деятельности отдельно стоящие объекты с количеством этажей не более двух и общей площадью не более 1 500 кв. м (за исключением особо опасных, технически сложных или уникальных объектов) (п. 4 ч. 2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244">
        <w:rPr>
          <w:rFonts w:ascii="Times New Roman" w:hAnsi="Times New Roman" w:cs="Times New Roman"/>
          <w:sz w:val="28"/>
          <w:szCs w:val="28"/>
        </w:rPr>
        <w:t xml:space="preserve">для строительства или реконструкции не нужно получать разрешение на строительство в установленных случаях. Экспертиза не проводится в отношении разделов проектной документации, подготовленных для проведения капитального ремонта объектов капитального строительства.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D2244">
        <w:rPr>
          <w:rFonts w:ascii="Times New Roman" w:hAnsi="Times New Roman" w:cs="Times New Roman"/>
          <w:sz w:val="28"/>
          <w:szCs w:val="28"/>
        </w:rPr>
        <w:t>Правительство РФ вправе определить иные случаи, при которых проведение экспертизы проектной документации не требуется.</w:t>
      </w:r>
    </w:p>
    <w:p w:rsidR="00CD2244" w:rsidRPr="00CD2244" w:rsidRDefault="00CD2244" w:rsidP="00CD2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D2244">
        <w:rPr>
          <w:rFonts w:ascii="Times New Roman" w:hAnsi="Times New Roman" w:cs="Times New Roman"/>
          <w:sz w:val="28"/>
          <w:szCs w:val="28"/>
        </w:rPr>
        <w:t xml:space="preserve">Отдельные исключения из этих правил установлены в ч. 2.1, 2.2,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244">
        <w:rPr>
          <w:rFonts w:ascii="Times New Roman" w:hAnsi="Times New Roman" w:cs="Times New Roman"/>
          <w:sz w:val="28"/>
          <w:szCs w:val="28"/>
        </w:rPr>
        <w:t xml:space="preserve">п. 1 ч. 3.3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РФ. Есть еще случаи, когда не требуется экспертиза результатов инженерных изысканий, и случаи, когда экспертиза может не проводиться в отношении изменений, внесенных в проектную документацию.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2244">
        <w:rPr>
          <w:rFonts w:ascii="Times New Roman" w:hAnsi="Times New Roman" w:cs="Times New Roman"/>
          <w:sz w:val="28"/>
          <w:szCs w:val="28"/>
        </w:rPr>
        <w:t xml:space="preserve">Если экспертиза проектной документации обязательна, ее проводят в форме государственной или негосударственной экспертизы. В определенных </w:t>
      </w:r>
      <w:r w:rsidRPr="00CD2244">
        <w:rPr>
          <w:rFonts w:ascii="Times New Roman" w:hAnsi="Times New Roman" w:cs="Times New Roman"/>
          <w:sz w:val="28"/>
          <w:szCs w:val="28"/>
        </w:rPr>
        <w:lastRenderedPageBreak/>
        <w:t xml:space="preserve">случаях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CD2244">
        <w:rPr>
          <w:rFonts w:ascii="Times New Roman" w:hAnsi="Times New Roman" w:cs="Times New Roman"/>
          <w:sz w:val="28"/>
          <w:szCs w:val="28"/>
        </w:rPr>
        <w:t>только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CD2244">
        <w:rPr>
          <w:rFonts w:ascii="Times New Roman" w:hAnsi="Times New Roman" w:cs="Times New Roman"/>
          <w:sz w:val="28"/>
          <w:szCs w:val="28"/>
        </w:rPr>
        <w:t xml:space="preserve">экспертиза, в остальных же случаях проектную документацию можно направить или на государственную, или на негосударственную экспертизу по выбору </w:t>
      </w:r>
      <w:r>
        <w:rPr>
          <w:rFonts w:ascii="Times New Roman" w:hAnsi="Times New Roman" w:cs="Times New Roman"/>
          <w:sz w:val="28"/>
          <w:szCs w:val="28"/>
        </w:rPr>
        <w:t xml:space="preserve">заказчика (застройщика) </w:t>
      </w:r>
      <w:r w:rsidRPr="00CD2244">
        <w:rPr>
          <w:rFonts w:ascii="Times New Roman" w:hAnsi="Times New Roman" w:cs="Times New Roman"/>
          <w:sz w:val="28"/>
          <w:szCs w:val="28"/>
        </w:rPr>
        <w:t xml:space="preserve">(ч. 1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CD2244" w:rsidRPr="00CD2244" w:rsidRDefault="00CD2244" w:rsidP="00CD2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244">
        <w:rPr>
          <w:rFonts w:ascii="Times New Roman" w:hAnsi="Times New Roman" w:cs="Times New Roman"/>
          <w:sz w:val="28"/>
          <w:szCs w:val="28"/>
        </w:rPr>
        <w:t xml:space="preserve">Государственную экспертизу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CD2244">
        <w:rPr>
          <w:rFonts w:ascii="Times New Roman" w:hAnsi="Times New Roman" w:cs="Times New Roman"/>
          <w:sz w:val="28"/>
          <w:szCs w:val="28"/>
        </w:rPr>
        <w:t xml:space="preserve">уполномоченные организации в зависимости от вида объекта, в отношении которого готовится проектная документация. Негосударственную экспертизу проводят экспертные организации, у которых есть соответствующая аккредитация (ч. 4 - 4.3 ст. 49, ч. 1 ст. 50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 xml:space="preserve">Предельный срок и порядок определения размера платы за проведение государственной экспертизы, перечень необходимых документов и порядок их представления урегулированы законодательством (ч. 7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РФ, разд. II, IV, VIII Положения 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CD2244">
        <w:rPr>
          <w:rFonts w:ascii="Times New Roman" w:hAnsi="Times New Roman" w:cs="Times New Roman"/>
          <w:sz w:val="28"/>
          <w:szCs w:val="28"/>
        </w:rPr>
        <w:t xml:space="preserve">экспертизе проектной документации). 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 xml:space="preserve">Для негосударственной экспертизы заявитель и экспертная организация самостоятельно определяют ее срок и размер платы за ее проведение в договоре между ними. Также они определяют, как представлять документы на негосударственную экспертизу, в той части, что не </w:t>
      </w:r>
      <w:proofErr w:type="gramStart"/>
      <w:r w:rsidRPr="00CD2244">
        <w:rPr>
          <w:rFonts w:ascii="Times New Roman" w:hAnsi="Times New Roman" w:cs="Times New Roman"/>
          <w:sz w:val="28"/>
          <w:szCs w:val="28"/>
        </w:rPr>
        <w:t>урегулирована</w:t>
      </w:r>
      <w:proofErr w:type="gramEnd"/>
      <w:r w:rsidRPr="00CD2244">
        <w:rPr>
          <w:rFonts w:ascii="Times New Roman" w:hAnsi="Times New Roman" w:cs="Times New Roman"/>
          <w:sz w:val="28"/>
          <w:szCs w:val="28"/>
        </w:rPr>
        <w:t xml:space="preserve"> законодательством (п. 4 Положения о негосударственной экспертизе проектной документации).</w:t>
      </w:r>
    </w:p>
    <w:p w:rsidR="00CD2244" w:rsidRPr="00CD2244" w:rsidRDefault="00CD2244" w:rsidP="00CD2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D2244">
        <w:rPr>
          <w:rFonts w:ascii="Times New Roman" w:hAnsi="Times New Roman" w:cs="Times New Roman"/>
          <w:sz w:val="28"/>
          <w:szCs w:val="28"/>
        </w:rPr>
        <w:t xml:space="preserve">Помимо собственно экспертизы проектной документации (государственной или негосударственной), ч. 6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 предусматривает еще два вида обязательных экспертиз.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>Государственная историко-культурная экспертиза нужна для того, чтобы согласовать проектную документацию на проведение работ по сохранению объекта культурного наследия. Это согласование является обязательным (п. 1 ст. 45 Закона об объектах культурного наследия).</w:t>
      </w:r>
    </w:p>
    <w:p w:rsidR="00CD2244" w:rsidRPr="00CD2244" w:rsidRDefault="00CD2244" w:rsidP="00CD22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согласования требуется </w:t>
      </w:r>
      <w:r w:rsidRPr="00CD2244">
        <w:rPr>
          <w:rFonts w:ascii="Times New Roman" w:hAnsi="Times New Roman" w:cs="Times New Roman"/>
          <w:sz w:val="28"/>
          <w:szCs w:val="28"/>
        </w:rPr>
        <w:t>положительное заключение экспертизы, которая подтверждает соответствие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(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>. 2 п. 3 Порядка, утвержденного Приказом Ми</w:t>
      </w:r>
      <w:r>
        <w:rPr>
          <w:rFonts w:ascii="Times New Roman" w:hAnsi="Times New Roman" w:cs="Times New Roman"/>
          <w:sz w:val="28"/>
          <w:szCs w:val="28"/>
        </w:rPr>
        <w:t>нкультуры России от 05.06.2015 №</w:t>
      </w:r>
      <w:r w:rsidRPr="00CD2244">
        <w:rPr>
          <w:rFonts w:ascii="Times New Roman" w:hAnsi="Times New Roman" w:cs="Times New Roman"/>
          <w:sz w:val="28"/>
          <w:szCs w:val="28"/>
        </w:rPr>
        <w:t>1749).</w:t>
      </w:r>
    </w:p>
    <w:p w:rsidR="00CD2244" w:rsidRPr="00CD2244" w:rsidRDefault="00CD2244" w:rsidP="00A60C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 xml:space="preserve">Государственная экологическая экспертиза проектной документации обязательна в предусмотренных в законе случаях. В частности, </w:t>
      </w:r>
      <w:proofErr w:type="gramStart"/>
      <w:r w:rsidRPr="00CD22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2244">
        <w:rPr>
          <w:rFonts w:ascii="Times New Roman" w:hAnsi="Times New Roman" w:cs="Times New Roman"/>
          <w:sz w:val="28"/>
          <w:szCs w:val="28"/>
        </w:rPr>
        <w:t xml:space="preserve"> проектной документации объектов, строительство или реконструкцию которых предполагается осуществлять в границах особо охраняемых природных территорий (ч. 6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РФ, п. 7.1 ст. 11 Закона об экологической экспертизе).</w:t>
      </w:r>
    </w:p>
    <w:p w:rsidR="00CD2244" w:rsidRPr="00CD2244" w:rsidRDefault="00CD2244" w:rsidP="00A60C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экологической экспертизы проектной документации (в случаях, предусмотренных ч. 6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 потребуется, чтобы получить разрешение на строительство (п. 4 ч. 7 ст. 51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A60CAA" w:rsidRDefault="00CD2244" w:rsidP="00A60C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24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иных экспертиз проектной документации в рамках законодательства о градостроительной деятельности не допускается (ч. 6 ст. 49 </w:t>
      </w:r>
      <w:proofErr w:type="spellStart"/>
      <w:r w:rsidRPr="00CD224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D2244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A60CAA" w:rsidRDefault="00A60CAA" w:rsidP="00A60CAA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0CAA" w:rsidRPr="00A60CAA" w:rsidRDefault="00A60CAA" w:rsidP="00A60CAA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0CAA">
        <w:rPr>
          <w:rFonts w:ascii="Times New Roman" w:hAnsi="Times New Roman" w:cs="Times New Roman"/>
          <w:b/>
          <w:i/>
          <w:sz w:val="28"/>
          <w:szCs w:val="28"/>
        </w:rPr>
        <w:t>Подготовлено на основании</w:t>
      </w:r>
    </w:p>
    <w:p w:rsidR="00A60CAA" w:rsidRPr="00A60CAA" w:rsidRDefault="00A60CAA" w:rsidP="00A60CAA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0CAA">
        <w:rPr>
          <w:rFonts w:ascii="Times New Roman" w:hAnsi="Times New Roman" w:cs="Times New Roman"/>
          <w:b/>
          <w:i/>
          <w:sz w:val="28"/>
          <w:szCs w:val="28"/>
        </w:rPr>
        <w:t>правовых актов, действующих</w:t>
      </w:r>
    </w:p>
    <w:p w:rsidR="00A60CAA" w:rsidRPr="00A60CAA" w:rsidRDefault="00A60CAA" w:rsidP="00A60CAA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0CAA">
        <w:rPr>
          <w:rFonts w:ascii="Times New Roman" w:hAnsi="Times New Roman" w:cs="Times New Roman"/>
          <w:b/>
          <w:i/>
          <w:sz w:val="28"/>
          <w:szCs w:val="28"/>
        </w:rPr>
        <w:t>по состоянию на 01.12.2022</w:t>
      </w:r>
      <w:bookmarkStart w:id="0" w:name="_GoBack"/>
      <w:bookmarkEnd w:id="0"/>
    </w:p>
    <w:sectPr w:rsidR="00A60CAA" w:rsidRPr="00A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A60CAA"/>
    <w:rsid w:val="00AA3405"/>
    <w:rsid w:val="00C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03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629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66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92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Белоногов Андрей Викторович</cp:lastModifiedBy>
  <cp:revision>1</cp:revision>
  <dcterms:created xsi:type="dcterms:W3CDTF">2022-12-05T03:04:00Z</dcterms:created>
  <dcterms:modified xsi:type="dcterms:W3CDTF">2022-12-05T03:26:00Z</dcterms:modified>
</cp:coreProperties>
</file>