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1985" w:right="-851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pacing w:val="-11"/>
          <w:sz w:val="24"/>
          <w:szCs w:val="24"/>
          <w:lang w:eastAsia="ru-RU"/>
        </w:rPr>
      </w:pPr>
      <w:r>
        <w:rPr>
          <w:b/>
          <w:spacing w:val="-11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00" cy="723600"/>
                <wp:effectExtent l="0" t="0" r="0" b="635"/>
                <wp:docPr id="1" name="Рисунок 9" descr="G:\ivc\Сапожников\Герб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:\ivc\Сапожников\Герб5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000" cy="72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.77pt;height:56.98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pacing w:val="-11"/>
          <w:sz w:val="24"/>
          <w:szCs w:val="24"/>
          <w:lang w:eastAsia="ru-RU"/>
        </w:rPr>
      </w:r>
    </w:p>
    <w:p>
      <w:pPr>
        <w:ind w:left="-1985" w:right="-851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1985" w:right="-851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АДМИНИСТРАЦИЯ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1985" w:right="-851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ЛЕНИНСКОГО РАЙОНА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ГОРОДА БАРНАУЛА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left="-1985" w:right="-851"/>
        <w:jc w:val="center"/>
        <w:keepNext/>
        <w:spacing w:before="182" w:after="0" w:line="240" w:lineRule="auto"/>
        <w:shd w:val="clear" w:color="auto" w:fill="ffffff"/>
        <w:widowControl w:val="off"/>
        <w:rPr>
          <w:rFonts w:ascii="Verdana" w:hAnsi="Verdana" w:eastAsia="Times New Roman" w:cs="Arial"/>
          <w:b/>
          <w:bCs/>
          <w:sz w:val="30"/>
          <w:szCs w:val="30"/>
          <w:lang w:eastAsia="ru-RU"/>
        </w:rPr>
        <w:outlineLvl w:val="0"/>
      </w:pPr>
      <w:r>
        <w:rPr>
          <w:rFonts w:ascii="Verdana" w:hAnsi="Verdana" w:eastAsia="Times New Roman" w:cs="Arial"/>
          <w:b/>
          <w:bCs/>
          <w:sz w:val="30"/>
          <w:szCs w:val="30"/>
          <w:lang w:eastAsia="ru-RU"/>
        </w:rPr>
        <w:t xml:space="preserve">ПОСТАНОВЛЕНИЕ</w:t>
      </w:r>
      <w:r>
        <w:rPr>
          <w:rFonts w:ascii="Verdana" w:hAnsi="Verdana" w:eastAsia="Times New Roman" w:cs="Arial"/>
          <w:b/>
          <w:bCs/>
          <w:sz w:val="30"/>
          <w:szCs w:val="30"/>
          <w:lang w:eastAsia="ru-RU"/>
        </w:rPr>
      </w:r>
    </w:p>
    <w:p>
      <w:pPr>
        <w:jc w:val="center"/>
        <w:spacing w:after="0" w:line="240" w:lineRule="auto"/>
        <w:rPr>
          <w:rFonts w:ascii="Book Antiqua" w:hAnsi="Book Antiqua" w:eastAsia="Times New Roman" w:cs="Times New Roman"/>
          <w:sz w:val="24"/>
          <w:szCs w:val="24"/>
          <w:lang w:eastAsia="ru-RU"/>
        </w:rPr>
      </w:pPr>
      <w:r>
        <w:rPr>
          <w:rFonts w:ascii="Book Antiqua" w:hAnsi="Book Antiqua" w:eastAsia="Times New Roman" w:cs="Times New Roman"/>
          <w:sz w:val="24"/>
          <w:szCs w:val="24"/>
          <w:lang w:eastAsia="ru-RU"/>
        </w:rPr>
      </w:r>
      <w:r>
        <w:rPr>
          <w:rFonts w:ascii="Book Antiqua" w:hAnsi="Book Antiqua" w:eastAsia="Times New Roman" w:cs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Book Antiqua" w:hAnsi="Book Antiqua" w:eastAsia="Times New Roman" w:cs="Times New Roman"/>
          <w:sz w:val="24"/>
          <w:szCs w:val="24"/>
          <w:lang w:eastAsia="ru-RU"/>
        </w:rPr>
      </w:pPr>
      <w:r>
        <w:rPr>
          <w:rFonts w:ascii="Book Antiqua" w:hAnsi="Book Antiqua" w:eastAsia="Times New Roman" w:cs="Times New Roman"/>
          <w:sz w:val="24"/>
          <w:szCs w:val="24"/>
          <w:lang w:eastAsia="ru-RU"/>
        </w:rPr>
      </w:r>
      <w:r>
        <w:rPr>
          <w:rFonts w:ascii="Book Antiqua" w:hAnsi="Book Antiqua" w:eastAsia="Times New Roman" w:cs="Times New Roman"/>
          <w:sz w:val="24"/>
          <w:szCs w:val="24"/>
          <w:lang w:eastAsia="ru-RU"/>
        </w:rPr>
      </w:r>
    </w:p>
    <w:p>
      <w:pPr>
        <w:spacing w:after="0" w:line="240" w:lineRule="auto"/>
        <w:tabs>
          <w:tab w:val="left" w:pos="4678" w:leader="none"/>
        </w:tabs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т 04.03.2025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№129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right="5104"/>
        <w:jc w:val="both"/>
        <w:spacing w:after="0" w:line="240" w:lineRule="auto"/>
        <w:tabs>
          <w:tab w:val="left" w:pos="425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оклада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равоприменительной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практике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104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муниципального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5104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</w:t>
      </w:r>
      <w:r>
        <w:rPr>
          <w:rFonts w:ascii="Times New Roman" w:hAnsi="Times New Roman" w:cs="Times New Roman"/>
          <w:sz w:val="28"/>
          <w:szCs w:val="28"/>
        </w:rPr>
        <w:t xml:space="preserve">транспорте,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городском наземном электрическом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транспорте и в дорожном хозяйстве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Ленинского района 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Барнаула </w:t>
      </w:r>
      <w:r>
        <w:rPr>
          <w:rFonts w:ascii="Times New Roman" w:hAnsi="Times New Roman" w:cs="Times New Roman"/>
          <w:sz w:val="28"/>
          <w:szCs w:val="28"/>
        </w:rPr>
        <w:t xml:space="preserve">за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4395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В соответствии </w:t>
      </w:r>
      <w:r>
        <w:rPr>
          <w:rFonts w:ascii="PT Astra Serif" w:hAnsi="PT Astra Serif"/>
          <w:sz w:val="28"/>
          <w:szCs w:val="28"/>
        </w:rPr>
        <w:t xml:space="preserve">со статьей 47 Федерального закона </w:t>
      </w:r>
      <w:r>
        <w:rPr>
          <w:rFonts w:ascii="PT Astra Serif" w:hAnsi="PT Astra Serif"/>
          <w:sz w:val="28"/>
          <w:szCs w:val="28"/>
        </w:rPr>
        <w:br/>
        <w:t xml:space="preserve">от 31.07.2020 №248-ФЗ «О государственном контроле (надзоре) </w:t>
      </w:r>
      <w:r>
        <w:rPr>
          <w:rFonts w:ascii="PT Astra Serif" w:hAnsi="PT Astra Serif"/>
          <w:sz w:val="28"/>
          <w:szCs w:val="28"/>
        </w:rPr>
        <w:br/>
        <w:t xml:space="preserve">и муниципальном контроле в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Российской Федерации»,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пунктом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2.7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.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края, утвержденного решением Барнаульской городской Думы от 30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.11.2021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№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797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администрация Ленинского района города Барнаула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br/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п о с т а н о в л я е т: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оклад о правоприменительной практике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Ленинского района города Барнаула </w:t>
      </w:r>
      <w:r>
        <w:rPr>
          <w:rFonts w:ascii="Times New Roman" w:hAnsi="Times New Roman" w:cs="Times New Roman"/>
          <w:sz w:val="28"/>
          <w:szCs w:val="28"/>
        </w:rPr>
        <w:t xml:space="preserve">за 2024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(приложение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pStyle w:val="689"/>
        <w:ind w:lef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2.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Главному специалисту – пресс-секретарю Гладышевой С.Б. обеспечить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размещение постановления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на официальном Интернет-сайте города Барнаула.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. Контроль за исполнением постановления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возложить на первого заместителя главы администрации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Ленинского 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района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города Барнаула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 по жилищно-коммунальному хозяйству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4"/>
          <w:lang w:eastAsia="ru-RU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  <w:highlight w:val="none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Глава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ab/>
      </w:r>
      <w:r>
        <w:rPr>
          <w:rFonts w:ascii="Times New Roman" w:hAnsi="Times New Roman" w:eastAsia="Calibri" w:cs="Times New Roman"/>
          <w:sz w:val="28"/>
          <w:szCs w:val="28"/>
        </w:rPr>
        <w:t xml:space="preserve">           </w:t>
      </w:r>
      <w:r>
        <w:rPr>
          <w:rFonts w:ascii="Times New Roman" w:hAnsi="Times New Roman" w:eastAsia="Calibri" w:cs="Times New Roman"/>
          <w:sz w:val="28"/>
          <w:szCs w:val="28"/>
        </w:rPr>
        <w:t xml:space="preserve">Е.А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  <w:t xml:space="preserve"> Авраменко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p>
      <w:pPr>
        <w:ind w:right="139" w:firstLine="5812"/>
        <w:spacing w:after="0" w:line="240" w:lineRule="auto"/>
        <w:tabs>
          <w:tab w:val="left" w:pos="-142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39" w:firstLine="5812"/>
        <w:spacing w:after="0" w:line="240" w:lineRule="auto"/>
        <w:tabs>
          <w:tab w:val="left" w:pos="-142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39" w:firstLine="5812"/>
        <w:spacing w:after="0" w:line="240" w:lineRule="auto"/>
        <w:tabs>
          <w:tab w:val="left" w:pos="-142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39" w:firstLine="5812"/>
        <w:spacing w:after="0" w:line="240" w:lineRule="auto"/>
        <w:tabs>
          <w:tab w:val="left" w:pos="-142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района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right="139" w:firstLine="5812"/>
        <w:spacing w:after="0" w:line="240" w:lineRule="auto"/>
        <w:tabs>
          <w:tab w:val="left" w:pos="-142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04.03.2025 №129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практике осуществления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Ленинского района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за 2024 год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Настоящий доклад подготовлен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Ленинского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города Барнаула (далее – администрация района)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ч</w:t>
      </w:r>
      <w:r>
        <w:rPr>
          <w:rFonts w:ascii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 31.07.2020 №248-ФЗ «О государственном контроле (надзоре) и муниципальном контроле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закон от </w:t>
      </w:r>
      <w:r>
        <w:rPr>
          <w:rFonts w:ascii="Times New Roman" w:hAnsi="Times New Roman" w:cs="Times New Roman"/>
          <w:sz w:val="28"/>
          <w:szCs w:val="28"/>
        </w:rPr>
        <w:t xml:space="preserve">31.07.2020 №248-ФЗ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от 07.12.2020 №2041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п.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контроле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решением Барнаульской</w:t>
      </w:r>
      <w:r>
        <w:rPr>
          <w:rFonts w:ascii="Times New Roman" w:hAnsi="Times New Roman" w:cs="Times New Roman"/>
          <w:sz w:val="28"/>
          <w:szCs w:val="28"/>
        </w:rPr>
        <w:t xml:space="preserve">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от 30.11.2021</w:t>
      </w:r>
      <w:r>
        <w:rPr>
          <w:rFonts w:ascii="Times New Roman" w:hAnsi="Times New Roman" w:cs="Times New Roman"/>
          <w:sz w:val="28"/>
          <w:szCs w:val="28"/>
        </w:rPr>
        <w:t xml:space="preserve"> №797.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Общие сведения о контрольных мероприятиях, специальных режимах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района п</w:t>
      </w:r>
      <w:r>
        <w:rPr>
          <w:rFonts w:ascii="Times New Roman" w:hAnsi="Times New Roman" w:cs="Times New Roman"/>
          <w:sz w:val="28"/>
          <w:szCs w:val="28"/>
        </w:rPr>
        <w:t xml:space="preserve">лановые контрольные (надзорные) мероприя</w:t>
      </w:r>
      <w:r>
        <w:rPr>
          <w:rFonts w:ascii="Times New Roman" w:hAnsi="Times New Roman" w:cs="Times New Roman"/>
          <w:sz w:val="28"/>
          <w:szCs w:val="28"/>
        </w:rPr>
        <w:t xml:space="preserve">тия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далее – КНМ)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2024 году не проводились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Внеплановые проверки в 2024 году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проводились.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КНМ с использованием средств дистанционного взаимодействия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 проводились.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В 2024 году отказ</w:t>
      </w: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ов</w:t>
      </w:r>
      <w:r>
        <w:rPr>
          <w:rFonts w:ascii="Times New Roman" w:hAnsi="Times New Roman" w:eastAsia="Times New Roman"/>
          <w:sz w:val="28"/>
          <w:szCs w:val="28"/>
          <w:lang w:eastAsia="ar-SA"/>
        </w:rPr>
        <w:t xml:space="preserve"> в согласовании проведения </w:t>
      </w:r>
      <w:r>
        <w:rPr>
          <w:rFonts w:ascii="Times New Roman" w:hAnsi="Times New Roman" w:cs="Times New Roman"/>
          <w:sz w:val="28"/>
          <w:szCs w:val="28"/>
        </w:rPr>
        <w:t xml:space="preserve">КНМ </w:t>
      </w:r>
      <w:r>
        <w:rPr>
          <w:rFonts w:ascii="Times New Roman" w:hAnsi="Times New Roman" w:cs="Times New Roman"/>
          <w:sz w:val="28"/>
          <w:szCs w:val="28"/>
        </w:rPr>
        <w:t xml:space="preserve">от органов прокуратуры не поступало.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Контрольные мероприятия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 взаимоде</w:t>
      </w:r>
      <w:r>
        <w:rPr>
          <w:rFonts w:ascii="Times New Roman" w:hAnsi="Times New Roman"/>
          <w:sz w:val="28"/>
          <w:szCs w:val="28"/>
        </w:rPr>
        <w:t xml:space="preserve">йствием с контролируемым лицом в 2024 году не проводились.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Органами администрации района, ответственными за проведение муниципального контроля, был проведен анализ объектов контроля в соответствии с критериями отнесения объектов контроля к категориям риска.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проведенного анализа объектов контроля с категориями высокого и чрезвычайно высокого риска не выявлено. Таким образом, формирование проекта плана </w:t>
      </w:r>
      <w:r>
        <w:rPr>
          <w:rFonts w:ascii="Times New Roman" w:hAnsi="Times New Roman"/>
          <w:sz w:val="28"/>
          <w:szCs w:val="28"/>
        </w:rPr>
        <w:t xml:space="preserve">КНМ </w:t>
      </w:r>
      <w:r>
        <w:rPr>
          <w:rFonts w:ascii="Times New Roman" w:hAnsi="Times New Roman"/>
          <w:sz w:val="28"/>
          <w:szCs w:val="28"/>
        </w:rPr>
        <w:t xml:space="preserve">на 2025 год не представляется возможным.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Общие сведения о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профилактических мероприятиях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Муниципальный контроль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в 2024 году осуществлялся посредством организации и проведении профилактических мероприятий (информирование, обобщение правоприменительной практики, объявление предостережения, консультирование, профилактический визит). Программа профилактики</w:t>
      </w:r>
      <w:r>
        <w:rPr>
          <w:rFonts w:ascii="Calibri" w:hAnsi="Calibri"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рисков причинения вреда (ущерба) охраняемым законом ценностям на 2024 год (далее -Программа) утверждена постановлением администрации района от </w:t>
      </w:r>
      <w:r>
        <w:rPr>
          <w:rFonts w:ascii="Times New Roman" w:hAnsi="Times New Roman" w:eastAsia="Calibri" w:cs="Times New Roman"/>
          <w:sz w:val="28"/>
          <w:szCs w:val="28"/>
        </w:rPr>
        <w:t xml:space="preserve">27.12.2023 №1176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Программа профилактики</w:t>
      </w:r>
      <w:r>
        <w:rPr>
          <w:rFonts w:ascii="Calibri" w:hAnsi="Calibri" w:eastAsia="Calibri" w:cs="Times New Roman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рисков причинения вреда (ущерба) охраняемым законом ценностям на 2025 год утверждена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района от 11.12.2024 №881</w:t>
      </w:r>
      <w:r>
        <w:rPr>
          <w:rFonts w:ascii="Times New Roman" w:hAnsi="Times New Roman" w:eastAsia="Calibri" w:cs="Times New Roman"/>
          <w:sz w:val="28"/>
          <w:szCs w:val="28"/>
        </w:rPr>
        <w:t xml:space="preserve">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Инспекторами муниципального контроля в рамках Программы в 2024 году </w:t>
      </w:r>
      <w:r>
        <w:rPr>
          <w:rFonts w:ascii="Times New Roman" w:hAnsi="Times New Roman" w:eastAsia="Calibri" w:cs="Times New Roman"/>
          <w:sz w:val="28"/>
          <w:szCs w:val="28"/>
        </w:rPr>
        <w:t xml:space="preserve">проведена 421 консультация (в 2023 году - 369), в том числе в ходе профилактических визитов, по разъяснению положений нормативных правовых актов, содержащих обязательные требования, оценка соблюдения которых осуществляется в рамках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1_639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672"/>
        <w:gridCol w:w="1418"/>
        <w:gridCol w:w="1843"/>
        <w:gridCol w:w="1559"/>
        <w:gridCol w:w="1417"/>
        <w:gridCol w:w="1300"/>
      </w:tblGrid>
      <w:tr>
        <w:tblPrEx/>
        <w:trPr>
          <w:jc w:val="center"/>
          <w:trHeight w:val="1383"/>
        </w:trPr>
        <w:tc>
          <w:tcPr>
            <w:tcW w:w="1672" w:type="dxa"/>
            <w:textDirection w:val="lrTb"/>
            <w:noWrap w:val="false"/>
          </w:tcPr>
          <w:p>
            <w:pPr>
              <w:ind w:right="-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Админи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страция района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right="-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Инфор-ми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рова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 в 2024/2023 гг.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right="-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Обобщение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правоприме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нительной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 практики в 2024/2023 гг.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-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Объявле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предосте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режения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 в 2024/2023 гг.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-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Консуль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тирова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ние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 в 2024/2023 гг.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ind w:right="-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Профи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лактиче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кий ви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зит в 2024/2023 гг.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</w:tc>
      </w:tr>
      <w:tr>
        <w:tblPrEx/>
        <w:trPr>
          <w:jc w:val="center"/>
          <w:trHeight w:val="484"/>
        </w:trPr>
        <w:tc>
          <w:tcPr>
            <w:tcW w:w="1672" w:type="dxa"/>
            <w:textDirection w:val="lrTb"/>
            <w:noWrap w:val="false"/>
          </w:tcPr>
          <w:p>
            <w:pPr>
              <w:ind w:right="-3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ind w:right="-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ar-SA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/35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ar-SA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ind w:right="-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2/2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ind w:right="-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ind w:right="-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421/369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</w:tc>
        <w:tc>
          <w:tcPr>
            <w:tcW w:w="1300" w:type="dxa"/>
            <w:textDirection w:val="lrTb"/>
            <w:noWrap w:val="false"/>
          </w:tcPr>
          <w:p>
            <w:pPr>
              <w:ind w:right="-3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  <w:t xml:space="preserve">26/72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ar-SA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Общие сведения о результатах проведенных контрольных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КНМ </w:t>
      </w:r>
      <w:r>
        <w:rPr>
          <w:rFonts w:ascii="Times New Roman" w:hAnsi="Times New Roman" w:cs="Times New Roman"/>
          <w:bCs/>
          <w:sz w:val="28"/>
          <w:szCs w:val="28"/>
        </w:rPr>
        <w:t xml:space="preserve">с</w:t>
      </w:r>
      <w:r>
        <w:rPr>
          <w:rFonts w:ascii="Times New Roman" w:hAnsi="Times New Roman" w:cs="Times New Roman"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взаимодействием с контролируемым лицом в 2024 году не проводились.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Выявить количество лиц и нарушений обязательных требований контролируемыми лицами не представилось возможным.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Привлечение к административной ответственности контролируемых лиц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итогам контрольных мероприятий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в 2024 году не осуществлялось, административные штрафы не накладывались.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Общие сведения о результатах досудебного обжалования решений контрольных органов, действий (</w:t>
      </w:r>
      <w:r>
        <w:rPr>
          <w:rFonts w:ascii="Times New Roman" w:hAnsi="Times New Roman" w:cs="Times New Roman"/>
          <w:sz w:val="28"/>
          <w:szCs w:val="28"/>
        </w:rPr>
        <w:t xml:space="preserve">бездействия) их должностных лиц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Досудебный порядок подачи жалоб при осуществлении муниципального контроля не применяется. 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на решения, принимаемые администрацией района в рамках реализации полномочий по осущест</w:t>
      </w:r>
      <w:r>
        <w:rPr>
          <w:rFonts w:ascii="Times New Roman" w:hAnsi="Times New Roman" w:cs="Times New Roman"/>
          <w:sz w:val="28"/>
          <w:szCs w:val="28"/>
        </w:rPr>
        <w:t xml:space="preserve">влению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не поступали.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Общие сведения о результатах судебного о</w:t>
      </w:r>
      <w:r>
        <w:rPr>
          <w:rFonts w:ascii="Times New Roman" w:hAnsi="Times New Roman" w:cs="Times New Roman"/>
          <w:sz w:val="28"/>
          <w:szCs w:val="28"/>
        </w:rPr>
        <w:t xml:space="preserve">бжалования решений контрольных </w:t>
      </w:r>
      <w:r>
        <w:rPr>
          <w:rFonts w:ascii="Times New Roman" w:hAnsi="Times New Roman" w:cs="Times New Roman"/>
          <w:sz w:val="28"/>
          <w:szCs w:val="28"/>
        </w:rPr>
        <w:t xml:space="preserve">органов, действий (</w:t>
      </w:r>
      <w:r>
        <w:rPr>
          <w:rFonts w:ascii="Times New Roman" w:hAnsi="Times New Roman" w:cs="Times New Roman"/>
          <w:sz w:val="28"/>
          <w:szCs w:val="28"/>
        </w:rPr>
        <w:t xml:space="preserve">бездействия) их должностных лиц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Обжалование</w:t>
      </w:r>
      <w:r>
        <w:rPr>
          <w:rFonts w:ascii="Times New Roman" w:hAnsi="Times New Roman" w:cs="Times New Roman"/>
          <w:sz w:val="28"/>
          <w:szCs w:val="28"/>
        </w:rPr>
        <w:t xml:space="preserve"> решений контрольных органов, действий (бездействия) их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в судебном порядке не производилось.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Сведения о достижении клю</w:t>
      </w:r>
      <w:r>
        <w:rPr>
          <w:rFonts w:ascii="Times New Roman" w:hAnsi="Times New Roman" w:cs="Times New Roman"/>
          <w:sz w:val="28"/>
          <w:szCs w:val="28"/>
        </w:rPr>
        <w:t xml:space="preserve">чевых показателей вида контроля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</w:t>
      </w:r>
      <w:r>
        <w:rPr>
          <w:rFonts w:ascii="Times New Roman" w:hAnsi="Times New Roman"/>
          <w:sz w:val="28"/>
          <w:szCs w:val="28"/>
        </w:rPr>
        <w:t xml:space="preserve">контрольные мероприятия</w:t>
      </w:r>
      <w:r>
        <w:rPr>
          <w:rFonts w:ascii="Times New Roman" w:hAnsi="Times New Roman"/>
          <w:sz w:val="28"/>
          <w:szCs w:val="28"/>
        </w:rPr>
        <w:t xml:space="preserve"> администрацией района </w:t>
      </w:r>
      <w:r>
        <w:rPr>
          <w:rFonts w:ascii="Times New Roman" w:hAnsi="Times New Roman"/>
          <w:sz w:val="28"/>
          <w:szCs w:val="28"/>
        </w:rPr>
        <w:t xml:space="preserve">в 202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 году не проводились</w:t>
      </w:r>
      <w:r>
        <w:rPr>
          <w:rFonts w:ascii="Times New Roman" w:hAnsi="Times New Roman"/>
          <w:sz w:val="28"/>
          <w:szCs w:val="28"/>
        </w:rPr>
        <w:t xml:space="preserve">, дать оценку достижения/</w:t>
      </w:r>
      <w:r>
        <w:rPr>
          <w:rFonts w:ascii="Times New Roman" w:hAnsi="Times New Roman"/>
          <w:sz w:val="28"/>
          <w:szCs w:val="28"/>
        </w:rPr>
        <w:t xml:space="preserve">недостижения</w:t>
      </w:r>
      <w:r>
        <w:rPr>
          <w:rFonts w:ascii="Times New Roman" w:hAnsi="Times New Roman"/>
          <w:sz w:val="28"/>
          <w:szCs w:val="28"/>
        </w:rPr>
        <w:t xml:space="preserve"> ключевых показателей не представляется возможным.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не предста</w:t>
      </w:r>
      <w:r>
        <w:rPr>
          <w:rFonts w:ascii="Times New Roman" w:hAnsi="Times New Roman"/>
          <w:sz w:val="28"/>
          <w:szCs w:val="28"/>
        </w:rPr>
        <w:t xml:space="preserve">вляется возможным рассчитать показатель результативности и эффективности программы профилактики в связи с тем, что показатель рассчитывается как отношение количества проведенных профилактических мероприятий к количеству проведенных контрольных мероприятий.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23"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tbl>
      <w:tblPr>
        <w:tblStyle w:val="48"/>
        <w:tblW w:w="0" w:type="auto"/>
        <w:jc w:val="center"/>
        <w:tblLook w:val="04A0" w:firstRow="1" w:lastRow="0" w:firstColumn="1" w:lastColumn="0" w:noHBand="0" w:noVBand="1"/>
      </w:tblPr>
      <w:tblGrid>
        <w:gridCol w:w="594"/>
        <w:gridCol w:w="5053"/>
        <w:gridCol w:w="1599"/>
        <w:gridCol w:w="1813"/>
      </w:tblGrid>
      <w:tr>
        <w:tblPrEx/>
        <w:trPr>
          <w:jc w:val="center"/>
        </w:trPr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ключевого показателя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Целевое значение, 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значение, %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устраненных нарушений из числа выявленных нарушений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выполнения плана проведения плановых контрольных мероприятий на очередной календарный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обоснованных жалоб на действия (бездействие) администрации района и (или) ее должностного лица при проведении контрольных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отмененных результатов контрольных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контрольных мероприятий, по результатам которых были выявлены нарушения, но не приняты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соответствующие меры административного воздействия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принятых административной комиссией при администрации города Барнаула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города Барнаула постановлений о назначении административного наказания по материалам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W w:w="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06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отмененных в судебном порядке постановлений административной комиссии при администрации города Барнаула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 города Барнаула по делам об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ативных правонарушениях от общего количества таких постановлений, принятых административными комиссиями города Барнаула, за исключением постановлений, отмененных на основании статей 2.7 и 2.9 Кодекса Российской Федерации об административных правонарушениях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8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Сведен</w:t>
      </w:r>
      <w:r>
        <w:rPr>
          <w:rFonts w:ascii="Times New Roman" w:hAnsi="Times New Roman" w:cs="Times New Roman"/>
          <w:sz w:val="28"/>
          <w:szCs w:val="28"/>
        </w:rPr>
        <w:t xml:space="preserve">ия о </w:t>
      </w:r>
      <w:r>
        <w:rPr>
          <w:rFonts w:ascii="Times New Roman" w:hAnsi="Times New Roman" w:cs="Times New Roman"/>
          <w:sz w:val="28"/>
          <w:szCs w:val="28"/>
        </w:rPr>
        <w:t xml:space="preserve">цифровизации</w:t>
      </w:r>
      <w:r>
        <w:rPr>
          <w:rFonts w:ascii="Times New Roman" w:hAnsi="Times New Roman" w:cs="Times New Roman"/>
          <w:sz w:val="28"/>
          <w:szCs w:val="28"/>
        </w:rPr>
        <w:t xml:space="preserve"> вида контроля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1_640"/>
        <w:ind w:firstLine="709"/>
        <w:jc w:val="both"/>
        <w:spacing w:before="0" w:beforeAutospacing="0" w:after="0" w:afterAutospacing="0"/>
        <w:shd w:val="clear" w:color="auto" w:fill="ffffff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переход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на полностью </w:t>
      </w:r>
      <w:r>
        <w:rPr>
          <w:sz w:val="28"/>
          <w:szCs w:val="28"/>
        </w:rPr>
        <w:t xml:space="preserve">электронное </w:t>
      </w:r>
      <w:r>
        <w:rPr>
          <w:sz w:val="28"/>
          <w:szCs w:val="28"/>
        </w:rPr>
        <w:t xml:space="preserve">взаимодействие контролеров с проверяемыми субъектами</w:t>
      </w:r>
      <w:r>
        <w:rPr>
          <w:sz w:val="28"/>
          <w:szCs w:val="28"/>
        </w:rPr>
        <w:t xml:space="preserve"> создан </w:t>
      </w:r>
      <w:r>
        <w:rPr>
          <w:sz w:val="28"/>
          <w:szCs w:val="28"/>
        </w:rPr>
        <w:t xml:space="preserve">Единый реестр контрольных (надзорных) мероприятий (</w:t>
      </w:r>
      <w:r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 xml:space="preserve">ЕРКНМ), размещению в котором подлежат сведения о проводимых уполномоченными орган</w:t>
      </w:r>
      <w:r>
        <w:rPr>
          <w:sz w:val="28"/>
          <w:szCs w:val="28"/>
        </w:rPr>
        <w:t xml:space="preserve">ами профилактических (в части объявления предостережений и проведения профилактических визитов) и контрольных (надзорных) мероприятиях (за исключением наблюдения за соблюдением обязательных требований и проведения выездного обследования, которые не предпол</w:t>
      </w:r>
      <w:r>
        <w:rPr>
          <w:sz w:val="28"/>
          <w:szCs w:val="28"/>
        </w:rPr>
        <w:t xml:space="preserve">агают взаимодействие). А также </w:t>
      </w:r>
      <w:r>
        <w:rPr>
          <w:sz w:val="28"/>
          <w:szCs w:val="28"/>
        </w:rPr>
        <w:t xml:space="preserve">Единый реестр видов контроля</w:t>
      </w:r>
      <w:r>
        <w:rPr>
          <w:sz w:val="28"/>
          <w:szCs w:val="28"/>
        </w:rPr>
        <w:t xml:space="preserve"> (далее – ЕРВК)</w:t>
      </w:r>
      <w:r>
        <w:rPr>
          <w:sz w:val="28"/>
          <w:szCs w:val="28"/>
        </w:rPr>
        <w:t xml:space="preserve">, в котором описывается каждый вид контроля. Это описание является справочником для других систем, в частности, и для ЕРКНМ.</w:t>
      </w:r>
      <w:r>
        <w:rPr>
          <w:rFonts w:ascii="Roboto" w:hAnsi="Roboto"/>
          <w:sz w:val="28"/>
          <w:szCs w:val="28"/>
        </w:rPr>
      </w:r>
      <w:r>
        <w:rPr>
          <w:rFonts w:ascii="Roboto" w:hAnsi="Roboto"/>
          <w:sz w:val="28"/>
          <w:szCs w:val="28"/>
        </w:rPr>
      </w:r>
    </w:p>
    <w:p>
      <w:pPr>
        <w:pStyle w:val="1_640"/>
        <w:ind w:firstLine="709"/>
        <w:jc w:val="both"/>
        <w:spacing w:before="0" w:beforeAutospacing="0" w:after="0" w:afterAutospacing="0"/>
        <w:shd w:val="clear" w:color="auto" w:fill="ffffff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аконом установлен запрет на проведение</w:t>
      </w:r>
      <w:r>
        <w:rPr>
          <w:sz w:val="28"/>
          <w:szCs w:val="28"/>
        </w:rPr>
        <w:t xml:space="preserve"> КНМ</w:t>
      </w:r>
      <w:r>
        <w:rPr>
          <w:sz w:val="28"/>
          <w:szCs w:val="28"/>
        </w:rPr>
        <w:t xml:space="preserve">, сведения о которых на момент начала их проведения в ЕРКНМ не внесены. </w:t>
      </w:r>
      <w:r>
        <w:rPr>
          <w:rFonts w:ascii="Roboto" w:hAnsi="Roboto"/>
          <w:sz w:val="28"/>
          <w:szCs w:val="28"/>
        </w:rPr>
      </w:r>
      <w:r>
        <w:rPr>
          <w:rFonts w:ascii="Roboto" w:hAnsi="Roboto"/>
          <w:sz w:val="28"/>
          <w:szCs w:val="28"/>
        </w:rPr>
      </w:r>
    </w:p>
    <w:p>
      <w:pPr>
        <w:pStyle w:val="1_640"/>
        <w:ind w:firstLine="709"/>
        <w:jc w:val="both"/>
        <w:spacing w:before="0" w:beforeAutospacing="0" w:after="0" w:afterAutospacing="0"/>
        <w:shd w:val="clear" w:color="auto" w:fill="ffffff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 xml:space="preserve">Проверить легальность</w:t>
      </w:r>
      <w:r>
        <w:rPr>
          <w:sz w:val="28"/>
          <w:szCs w:val="28"/>
        </w:rPr>
        <w:t xml:space="preserve"> КНМ</w:t>
      </w:r>
      <w:r>
        <w:rPr>
          <w:sz w:val="28"/>
          <w:szCs w:val="28"/>
        </w:rPr>
        <w:t xml:space="preserve"> либо профилактического мероприятия можно при помощи QR-кода, подлежащего нанесению на документы, оформляемые органами контроля. Он позволяет автоматически перейти в паспорт мероприятия, которому присвоен уникальный номер в ЕРКНМ.</w:t>
      </w:r>
      <w:r>
        <w:rPr>
          <w:rFonts w:ascii="Roboto" w:hAnsi="Roboto"/>
          <w:sz w:val="28"/>
          <w:szCs w:val="28"/>
        </w:rPr>
      </w:r>
      <w:r>
        <w:rPr>
          <w:rFonts w:ascii="Roboto" w:hAnsi="Roboto"/>
          <w:sz w:val="28"/>
          <w:szCs w:val="28"/>
        </w:rPr>
      </w:r>
    </w:p>
    <w:p>
      <w:pPr>
        <w:pStyle w:val="1_640"/>
        <w:ind w:firstLine="709"/>
        <w:jc w:val="both"/>
        <w:spacing w:before="0" w:beforeAutospacing="0" w:after="0" w:afterAutospacing="0"/>
        <w:shd w:val="clear" w:color="auto" w:fill="ffffff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 xml:space="preserve">Созданные в ходе реформы информационные системы позволяют сделать контроль более прозрачным и цифровым, улучшить взаимодействие с органами прокуратуры и контролируемыми лицами, используя при этом </w:t>
      </w:r>
      <w:r>
        <w:rPr>
          <w:sz w:val="28"/>
          <w:szCs w:val="28"/>
        </w:rPr>
        <w:t xml:space="preserve">уже существующие инструменты (такие, как портал </w:t>
      </w:r>
      <w:r>
        <w:rPr>
          <w:sz w:val="28"/>
          <w:szCs w:val="28"/>
        </w:rPr>
        <w:t xml:space="preserve">Госуслуг</w:t>
      </w:r>
      <w:r>
        <w:rPr>
          <w:sz w:val="28"/>
          <w:szCs w:val="28"/>
        </w:rPr>
        <w:t xml:space="preserve">, ТОР КНД – типовое облачное решение по автоматизации контрольной (надзо</w:t>
      </w:r>
      <w:r>
        <w:rPr>
          <w:sz w:val="28"/>
          <w:szCs w:val="28"/>
        </w:rPr>
        <w:t xml:space="preserve">рной) деятельности, ЕГРЮЛ/ЕГРИП</w:t>
      </w:r>
      <w:r>
        <w:rPr>
          <w:sz w:val="28"/>
          <w:szCs w:val="28"/>
        </w:rPr>
        <w:t xml:space="preserve">).</w:t>
      </w:r>
      <w:r>
        <w:rPr>
          <w:rFonts w:ascii="Roboto" w:hAnsi="Roboto"/>
          <w:sz w:val="28"/>
          <w:szCs w:val="28"/>
        </w:rPr>
      </w:r>
      <w:r>
        <w:rPr>
          <w:rFonts w:ascii="Roboto" w:hAnsi="Roboto"/>
          <w:sz w:val="28"/>
          <w:szCs w:val="28"/>
        </w:rPr>
      </w:r>
    </w:p>
    <w:p>
      <w:pPr>
        <w:pStyle w:val="1_640"/>
        <w:ind w:firstLine="709"/>
        <w:jc w:val="both"/>
        <w:spacing w:before="0" w:beforeAutospacing="0" w:after="0" w:afterAutospacing="0"/>
        <w:shd w:val="clear" w:color="auto" w:fill="ffffff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 xml:space="preserve">Свое функционирование Единый реестр проверок продолжает, но уже в качестве подсистемы ЕРКНМ.</w:t>
      </w:r>
      <w:r>
        <w:rPr>
          <w:rFonts w:ascii="Roboto" w:hAnsi="Roboto"/>
          <w:sz w:val="28"/>
          <w:szCs w:val="28"/>
        </w:rPr>
      </w:r>
      <w:r>
        <w:rPr>
          <w:rFonts w:ascii="Roboto" w:hAnsi="Roboto"/>
          <w:sz w:val="28"/>
          <w:szCs w:val="28"/>
        </w:rPr>
      </w:r>
    </w:p>
    <w:p>
      <w:pPr>
        <w:pStyle w:val="1_640"/>
        <w:ind w:firstLine="709"/>
        <w:jc w:val="both"/>
        <w:spacing w:before="0" w:beforeAutospacing="0" w:after="0" w:afterAutospacing="0"/>
        <w:shd w:val="clear" w:color="auto" w:fill="ffffff"/>
        <w:rPr>
          <w:rFonts w:ascii="Roboto" w:hAnsi="Roboto"/>
          <w:sz w:val="28"/>
          <w:szCs w:val="28"/>
        </w:rPr>
      </w:pPr>
      <w:r>
        <w:rPr>
          <w:sz w:val="28"/>
          <w:szCs w:val="28"/>
        </w:rPr>
        <w:t xml:space="preserve">В данный реестр добавляется не только само требование, но и сведения о том, кем оно проверяется, в каком нормативном документе содержится, какова ответственность за его несоблюдение.</w:t>
      </w:r>
      <w:r>
        <w:rPr>
          <w:rFonts w:ascii="Roboto" w:hAnsi="Roboto"/>
          <w:sz w:val="28"/>
          <w:szCs w:val="28"/>
        </w:rPr>
      </w:r>
      <w:r>
        <w:rPr>
          <w:rFonts w:ascii="Roboto" w:hAnsi="Roboto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Общие сведения о кадровом об</w:t>
      </w:r>
      <w:r>
        <w:rPr>
          <w:rFonts w:ascii="Times New Roman" w:hAnsi="Times New Roman" w:cs="Times New Roman"/>
          <w:sz w:val="28"/>
          <w:szCs w:val="28"/>
        </w:rPr>
        <w:t xml:space="preserve">еспечении в контрольных органах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Администрацией района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принято распоряжение о назначении ответственных лиц за осуществление муниципального контроля в администрации района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от 28.12.2023 №136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br/>
        <w:t xml:space="preserve">«О назначении ответственных лиц за осуществление муниципального контроля в администрации Ленинского района города Барнаула»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Распоряжением администрации района от 28.12.2023 №136-р ответственным лицом за осуществление муниципального контроля в администрации района определен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первый заместитель главы администрации района по жилищно-коммунальному хозяйству.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Также в пяти органах 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дминистрации района назначены 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инспекторов для осуществления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КНМ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профилактических мероприятий в рамках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eastAsia="Times New Roman" w:cs="Times New Roman"/>
          <w:sz w:val="27"/>
          <w:szCs w:val="27"/>
          <w:lang w:eastAsia="ar-SA"/>
        </w:rPr>
        <w:t xml:space="preserve"> </w:t>
      </w:r>
      <w:r>
        <w:rPr>
          <w:rFonts w:ascii="Times New Roman" w:hAnsi="Times New Roman" w:eastAsia="Times New Roman" w:cs="Times New Roman"/>
          <w:sz w:val="27"/>
          <w:szCs w:val="27"/>
          <w:lang w:eastAsia="ar-SA"/>
        </w:rPr>
        <w:t xml:space="preserve">на курируемых объектах, расположенных на территории района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Выводы и предложения по итогам организации и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осуществления вида контроля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</w:t>
      </w:r>
      <w:r>
        <w:rPr>
          <w:rFonts w:ascii="Times New Roman" w:hAnsi="Times New Roman" w:cs="Times New Roman"/>
          <w:sz w:val="28"/>
          <w:szCs w:val="28"/>
        </w:rPr>
        <w:t xml:space="preserve"> году администрацией района контрольные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проводились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администрацией района осуществлялись профилактические мероприятия в рамках Программы профилактики рисков причинения вреда (ущерба) охраняемым законом ценностям по муниципальному контролю </w:t>
      </w:r>
      <w:r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637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 результативности осуществления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контроля на автомобильном транспорте, городском наземном электрическом транспорте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дорожном хозяйстве на территории городского округа - города Барнаула Алтайского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организовать регулярные обучающие семинары для инспекторов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города Барнаула с привлечением сотрудников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прокуратуры, специалистов администрации города Барнаула по вопросам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1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</w:r>
    </w:p>
    <w:sectPr>
      <w:headerReference w:type="default" r:id="rId9"/>
      <w:footnotePr/>
      <w:endnotePr/>
      <w:type w:val="nextPage"/>
      <w:pgSz w:w="11909" w:h="16834" w:orient="portrait"/>
      <w:pgMar w:top="851" w:right="851" w:bottom="1134" w:left="1985" w:header="567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Calibri">
    <w:panose1 w:val="020F0502020204030204"/>
  </w:font>
  <w:font w:name="Verdana">
    <w:panose1 w:val="020B0604030504040204"/>
  </w:font>
  <w:font w:name="Times New Roman">
    <w:panose1 w:val="02020603050405020304"/>
  </w:font>
  <w:font w:name="Book Antiqua">
    <w:panose1 w:val="020406020503050303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691141628"/>
      <w:docPartObj>
        <w:docPartGallery w:val="Page Numbers (Top of Page)"/>
        <w:docPartUnique w:val="true"/>
      </w:docPartObj>
      <w:rPr/>
    </w:sdtPr>
    <w:sdtContent>
      <w:p>
        <w:pPr>
          <w:pStyle w:val="685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6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43" w:hanging="10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9"/>
    <w:next w:val="67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9"/>
    <w:next w:val="67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9"/>
    <w:next w:val="67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9"/>
    <w:next w:val="67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9"/>
    <w:next w:val="67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9"/>
    <w:next w:val="67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9"/>
    <w:next w:val="67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9"/>
    <w:next w:val="67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9"/>
    <w:next w:val="67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9"/>
    <w:next w:val="67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0"/>
    <w:link w:val="34"/>
    <w:uiPriority w:val="10"/>
    <w:rPr>
      <w:sz w:val="48"/>
      <w:szCs w:val="48"/>
    </w:rPr>
  </w:style>
  <w:style w:type="paragraph" w:styleId="36">
    <w:name w:val="Subtitle"/>
    <w:basedOn w:val="679"/>
    <w:next w:val="67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0"/>
    <w:link w:val="36"/>
    <w:uiPriority w:val="11"/>
    <w:rPr>
      <w:sz w:val="24"/>
      <w:szCs w:val="24"/>
    </w:rPr>
  </w:style>
  <w:style w:type="paragraph" w:styleId="38">
    <w:name w:val="Quote"/>
    <w:basedOn w:val="679"/>
    <w:next w:val="67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9"/>
    <w:next w:val="67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0"/>
    <w:link w:val="685"/>
    <w:uiPriority w:val="99"/>
  </w:style>
  <w:style w:type="character" w:styleId="45">
    <w:name w:val="Footer Char"/>
    <w:basedOn w:val="680"/>
    <w:link w:val="687"/>
    <w:uiPriority w:val="99"/>
  </w:style>
  <w:style w:type="paragraph" w:styleId="46">
    <w:name w:val="Caption"/>
    <w:basedOn w:val="679"/>
    <w:next w:val="6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8">
    <w:name w:val="Table Grid"/>
    <w:basedOn w:val="6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8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0"/>
    <w:uiPriority w:val="99"/>
    <w:unhideWhenUsed/>
    <w:rPr>
      <w:vertAlign w:val="superscript"/>
    </w:rPr>
  </w:style>
  <w:style w:type="paragraph" w:styleId="178">
    <w:name w:val="endnote text"/>
    <w:basedOn w:val="67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0"/>
    <w:uiPriority w:val="99"/>
    <w:semiHidden/>
    <w:unhideWhenUsed/>
    <w:rPr>
      <w:vertAlign w:val="superscript"/>
    </w:rPr>
  </w:style>
  <w:style w:type="paragraph" w:styleId="181">
    <w:name w:val="toc 1"/>
    <w:basedOn w:val="679"/>
    <w:next w:val="67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9"/>
    <w:next w:val="67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9"/>
    <w:next w:val="67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9"/>
    <w:next w:val="67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9"/>
    <w:next w:val="67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9"/>
    <w:next w:val="67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9"/>
    <w:next w:val="67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9"/>
    <w:next w:val="67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9"/>
    <w:next w:val="67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9"/>
    <w:next w:val="679"/>
    <w:uiPriority w:val="99"/>
    <w:unhideWhenUsed/>
    <w:pPr>
      <w:spacing w:after="0" w:afterAutospacing="0"/>
    </w:pPr>
  </w:style>
  <w:style w:type="paragraph" w:styleId="679" w:default="1">
    <w:name w:val="Normal"/>
    <w:qFormat/>
  </w:style>
  <w:style w:type="character" w:styleId="680" w:default="1">
    <w:name w:val="Default Paragraph Font"/>
    <w:uiPriority w:val="1"/>
    <w:semiHidden/>
    <w:unhideWhenUsed/>
  </w:style>
  <w:style w:type="table" w:styleId="6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2" w:default="1">
    <w:name w:val="No List"/>
    <w:uiPriority w:val="99"/>
    <w:semiHidden/>
    <w:unhideWhenUsed/>
  </w:style>
  <w:style w:type="paragraph" w:styleId="683">
    <w:name w:val="Balloon Text"/>
    <w:basedOn w:val="679"/>
    <w:link w:val="68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84" w:customStyle="1">
    <w:name w:val="Текст выноски Знак"/>
    <w:basedOn w:val="680"/>
    <w:link w:val="683"/>
    <w:uiPriority w:val="99"/>
    <w:semiHidden/>
    <w:rPr>
      <w:rFonts w:ascii="Tahoma" w:hAnsi="Tahoma" w:cs="Tahoma"/>
      <w:sz w:val="16"/>
      <w:szCs w:val="16"/>
    </w:rPr>
  </w:style>
  <w:style w:type="paragraph" w:styleId="685">
    <w:name w:val="Header"/>
    <w:basedOn w:val="679"/>
    <w:link w:val="6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6" w:customStyle="1">
    <w:name w:val="Верхний колонтитул Знак"/>
    <w:basedOn w:val="680"/>
    <w:link w:val="685"/>
    <w:uiPriority w:val="99"/>
  </w:style>
  <w:style w:type="paragraph" w:styleId="687">
    <w:name w:val="Footer"/>
    <w:basedOn w:val="679"/>
    <w:link w:val="68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8" w:customStyle="1">
    <w:name w:val="Нижний колонтитул Знак"/>
    <w:basedOn w:val="680"/>
    <w:link w:val="687"/>
    <w:uiPriority w:val="99"/>
  </w:style>
  <w:style w:type="paragraph" w:styleId="689">
    <w:name w:val="List Paragraph"/>
    <w:basedOn w:val="679"/>
    <w:uiPriority w:val="34"/>
    <w:qFormat/>
    <w:pPr>
      <w:contextualSpacing/>
      <w:ind w:left="720"/>
    </w:pPr>
  </w:style>
  <w:style w:type="table" w:styleId="1_639" w:customStyle="1">
    <w:name w:val="Сетка таблицы1"/>
    <w:basedOn w:val="688"/>
    <w:next w:val="700"/>
    <w:uiPriority w:val="5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hint="default" w:asciiTheme="minorHAnsi" w:hAnsiTheme="minorHAnsi" w:eastAsiaTheme="minorHAnsi" w:cstheme="minorBid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  <w:tblPr>
      <w:tblStyleRowBandSize w:val="1"/>
      <w:tblStyleColBandSize w:val="1"/>
      <w:tblW w:w="0" w:type="auto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autofit"/>
      <w:tblCellMar>
        <w:left w:w="108" w:type="dxa"/>
        <w:top w:w="0" w:type="dxa"/>
        <w:right w:w="108" w:type="dxa"/>
        <w:bottom w:w="0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  <w:style w:type="paragraph" w:styleId="1_640" w:customStyle="1">
    <w:name w:val="Normal (Web)"/>
    <w:basedOn w:val="685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revision>3</cp:revision>
  <dcterms:created xsi:type="dcterms:W3CDTF">2025-01-31T05:14:00Z</dcterms:created>
  <dcterms:modified xsi:type="dcterms:W3CDTF">2025-03-05T02:30:35Z</dcterms:modified>
</cp:coreProperties>
</file>