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ind w:right="0" w:firstLine="0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Cs w:val="28"/>
        </w:rPr>
        <w:t xml:space="preserve">Приложение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7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ЗАКЛЮЧЕНИЕ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7"/>
        <w:jc w:val="center"/>
        <w:rPr>
          <w:rFonts w:ascii="PT Astra Serif" w:hAnsi="PT Astra Serif" w:cs="PT Astra Serif"/>
          <w:sz w:val="28"/>
          <w:szCs w:val="28"/>
          <w:u w:val="single"/>
        </w:rPr>
      </w:pPr>
      <w:r>
        <w:rPr>
          <w:rFonts w:ascii="PT Astra Serif" w:hAnsi="PT Astra Serif" w:cs="PT Astra Serif"/>
          <w:sz w:val="28"/>
          <w:szCs w:val="28"/>
        </w:rPr>
        <w:t xml:space="preserve">об оценке регулирующего воздействия</w:t>
      </w:r>
      <w:r>
        <w:rPr>
          <w:rFonts w:ascii="PT Astra Serif" w:hAnsi="PT Astra Serif" w:cs="PT Astra Serif"/>
          <w:sz w:val="28"/>
          <w:szCs w:val="28"/>
          <w:u w:val="single"/>
        </w:rPr>
      </w:r>
      <w:r>
        <w:rPr>
          <w:rFonts w:ascii="PT Astra Serif" w:hAnsi="PT Astra Serif" w:cs="PT Astra Serif"/>
          <w:sz w:val="28"/>
          <w:szCs w:val="28"/>
          <w:u w:val="single"/>
        </w:rPr>
      </w:r>
    </w:p>
    <w:p>
      <w:pPr>
        <w:pStyle w:val="887"/>
        <w:jc w:val="right"/>
        <w:rPr>
          <w:rFonts w:ascii="PT Astra Serif" w:hAnsi="PT Astra Serif" w:cs="PT Astra Serif"/>
          <w:color w:val="000000"/>
          <w:sz w:val="28"/>
          <w:szCs w:val="28"/>
          <w:u w:val="single"/>
        </w:rPr>
      </w:pPr>
      <w:r>
        <w:rPr>
          <w:rFonts w:ascii="PT Astra Serif" w:hAnsi="PT Astra Serif" w:cs="PT Astra Serif"/>
          <w:sz w:val="28"/>
          <w:szCs w:val="28"/>
          <w:u w:val="single"/>
        </w:rPr>
        <w:t xml:space="preserve">25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.09.2025</w:t>
      </w:r>
      <w:r>
        <w:rPr>
          <w:rFonts w:ascii="PT Astra Serif" w:hAnsi="PT Astra Serif" w:cs="PT Astra Serif"/>
          <w:color w:val="000000"/>
          <w:sz w:val="28"/>
          <w:szCs w:val="28"/>
          <w:u w:val="single"/>
        </w:rPr>
      </w:r>
      <w:r>
        <w:rPr>
          <w:rFonts w:ascii="PT Astra Serif" w:hAnsi="PT Astra Serif" w:cs="PT Astra Serif"/>
          <w:color w:val="000000"/>
          <w:sz w:val="28"/>
          <w:szCs w:val="28"/>
          <w:u w:val="single"/>
        </w:rPr>
      </w:r>
    </w:p>
    <w:p>
      <w:pPr>
        <w:pStyle w:val="887"/>
        <w:jc w:val="right"/>
        <w:rPr>
          <w:rFonts w:ascii="PT Astra Serif" w:hAnsi="PT Astra Serif" w:cs="PT Astra Serif"/>
          <w:color w:val="000000"/>
          <w:sz w:val="28"/>
          <w:szCs w:val="28"/>
          <w:u w:val="single"/>
        </w:rPr>
      </w:pPr>
      <w:r>
        <w:rPr>
          <w:rFonts w:ascii="PT Astra Serif" w:hAnsi="PT Astra Serif" w:cs="PT Astra Serif"/>
          <w:color w:val="000000"/>
          <w:sz w:val="28"/>
          <w:szCs w:val="28"/>
          <w:u w:val="single"/>
        </w:rPr>
      </w:r>
      <w:r>
        <w:rPr>
          <w:rFonts w:ascii="PT Astra Serif" w:hAnsi="PT Astra Serif" w:cs="PT Astra Serif"/>
          <w:color w:val="000000"/>
          <w:sz w:val="28"/>
          <w:szCs w:val="28"/>
          <w:u w:val="single"/>
        </w:rPr>
      </w:r>
      <w:r>
        <w:rPr>
          <w:rFonts w:ascii="PT Astra Serif" w:hAnsi="PT Astra Serif" w:cs="PT Astra Serif"/>
          <w:color w:val="000000"/>
          <w:sz w:val="28"/>
          <w:szCs w:val="28"/>
          <w:u w:val="single"/>
        </w:rPr>
      </w:r>
    </w:p>
    <w:p>
      <w:pPr>
        <w:pStyle w:val="887"/>
        <w:ind w:right="0" w:firstLine="851"/>
        <w:jc w:val="both"/>
        <w:rPr>
          <w:rFonts w:ascii="PT Astra Serif" w:hAnsi="PT Astra Serif" w:eastAsia="Times New Roman" w:cs="PT Astra Serif"/>
          <w:color w:val="000000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Комитет экономического развития и инвестиционной деятельности администрации города Барнаула в соответствии с Федеральным </w:t>
      </w:r>
      <w:r>
        <w:fldChar w:fldCharType="begin"/>
      </w:r>
      <w:r>
        <w:instrText xml:space="preserve"> HYPERLINK "consultantplus://offline/ref=B6BD57CD5728BE3A9D6FEFBA1F6D0616983671E4332D05E367E0C0477696EF78FD4D83E2C8cDn1K"</w:instrText>
      </w:r>
      <w:r>
        <w:fldChar w:fldCharType="separate"/>
      </w:r>
      <w:r>
        <w:rPr>
          <w:rStyle w:val="868"/>
          <w:rFonts w:ascii="PT Astra Serif" w:hAnsi="PT Astra Serif" w:eastAsia="Calibri" w:cs="PT Astra Serif"/>
          <w:color w:val="000000"/>
          <w:sz w:val="28"/>
          <w:szCs w:val="28"/>
          <w:u w:val="none"/>
        </w:rPr>
        <w:t xml:space="preserve">законом</w:t>
      </w:r>
      <w:r>
        <w:fldChar w:fldCharType="end"/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от 06.10.2003 №131-ФЗ «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Об общих принципах организации местного самоуправления в Российской Федерации», законом Алтайского края от 10.11.2014 №90-ЗС «О порядке проведения оценки регулирующего воздействия проектов муниципальных нормативных правовых актов и экспертизы муниципальных</w:t>
      </w:r>
      <w:r>
        <w:rPr>
          <w:rFonts w:ascii="PT Astra Serif" w:hAnsi="PT Astra Serif" w:cs="PT Astra Serif"/>
          <w:sz w:val="28"/>
          <w:szCs w:val="28"/>
        </w:rPr>
        <w:t xml:space="preserve"> нормативных правовых актов</w:t>
      </w:r>
      <w:r>
        <w:rPr>
          <w:rFonts w:ascii="PT Astra Serif" w:hAnsi="PT Astra Serif" w:cs="PT Astra Serif"/>
          <w:bCs/>
          <w:color w:val="000000"/>
          <w:sz w:val="28"/>
          <w:szCs w:val="28"/>
          <w:shd w:val="clear" w:color="auto" w:fill="ffffff"/>
        </w:rPr>
        <w:t xml:space="preserve">» (далее – закон Алтайского края от 10.11.2014 </w:t>
        <w:br w:type="textWrapping" w:clear="all"/>
        <w:t xml:space="preserve">№90-ЗС), Положением о проведении оценки регулирующего воздействия</w:t>
      </w:r>
      <w:r>
        <w:rPr>
          <w:rFonts w:ascii="PT Astra Serif" w:hAnsi="PT Astra Serif" w:cs="PT Astra Serif"/>
          <w:bCs/>
          <w:color w:val="000000"/>
          <w:sz w:val="28"/>
          <w:szCs w:val="28"/>
          <w:shd w:val="clear" w:color="auto" w:fill="ffffff"/>
        </w:rPr>
        <w:t xml:space="preserve"> проектов муниципальных нормативных правовых актов города Барнаула и экспертизы муниципальных нормативных правовых актов города Барнаула, утвержденным постановлением администрации города Барнаула от 23.09.2016 №1903 </w:t>
        <w:br/>
        <w:t xml:space="preserve">(далее – Положение), рассмотрел проект </w:t>
      </w:r>
      <w:r>
        <w:rPr>
          <w:rFonts w:ascii="PT Astra Serif" w:hAnsi="PT Astra Serif" w:cs="PT Astra Serif"/>
          <w:sz w:val="28"/>
          <w:szCs w:val="28"/>
        </w:rPr>
        <w:t xml:space="preserve">решения Барнаульской городской Думы  «О внесении изменений в решение городской Думы от 22.12.2010 №423 </w:t>
        <w:br w:type="textWrapping" w:clear="all"/>
        <w:t xml:space="preserve">«Об утверждении Правил размещения наружной рекламы в городе Барнауле» </w:t>
        <w:br w:type="textWrapping" w:clear="all"/>
        <w:t xml:space="preserve">(в редакции решения от 23.08.2024 №374)»</w:t>
      </w:r>
      <w:r>
        <w:rPr>
          <w:rFonts w:ascii="PT Astra Serif" w:hAnsi="PT Astra Serif" w:cs="PT Astra Serif"/>
          <w:bCs/>
          <w:color w:val="000000"/>
          <w:sz w:val="28"/>
          <w:szCs w:val="28"/>
          <w:shd w:val="clear" w:color="auto" w:fill="ffffff"/>
        </w:rPr>
        <w:t xml:space="preserve"> (далее – проект МНПА), разработанный и направленный для подготовки настоящего заключения комитетом по строительству, архитектуре и развитию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города Барнаула (далее – разработчик), и сообщает следующее.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</w:p>
    <w:p>
      <w:pPr>
        <w:pStyle w:val="858"/>
        <w:jc w:val="both"/>
        <w:rPr>
          <w:rFonts w:ascii="PT Astra Serif" w:hAnsi="PT Astra Serif" w:eastAsia="Times New Roman" w:cs="PT Astra Serif"/>
          <w:color w:val="000000"/>
          <w:szCs w:val="28"/>
          <w:lang w:eastAsia="ru-RU"/>
        </w:rPr>
      </w:pP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Проект МНПА и сводный отчет о проведении оценки регулирующего воздействия (далее – сводный отчет) направлены разработчиком для подготовки настоящего заключения повторно.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</w:p>
    <w:p>
      <w:pPr>
        <w:pStyle w:val="858"/>
        <w:ind w:right="0" w:firstLine="72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Проект МНПА и сводный отчет впервые направлены 22.07.2025. </w:t>
        <w:br w:type="textWrapping" w:clear="all"/>
      </w:r>
      <w:r>
        <w:rPr>
          <w:rFonts w:ascii="PT Astra Serif" w:hAnsi="PT Astra Serif" w:cs="PT Astra Serif"/>
          <w:szCs w:val="28"/>
        </w:rPr>
        <w:t xml:space="preserve">По результатам рассмотрения впервые поступившего для подготовки заключения проекта МНПА и сводного отчета установлено, что при подготовке проекта МНПА разработчиком не соблюден порядок проведения оценки регулирующего воздействия. 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85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Несоблюдение порядка проведения оценки регулирующего воздействия выразилось в: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85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- отсутствии обоснованных или мотивированных результатов рассмотрения по 22 предложениям, поступившим в ходе публичного обсуждения, в части предложений по количеству сторон у индивидуальной стелы, по внутренней подс</w:t>
      </w:r>
      <w:r>
        <w:rPr>
          <w:rFonts w:ascii="PT Astra Serif" w:hAnsi="PT Astra Serif" w:cs="PT Astra Serif"/>
          <w:szCs w:val="28"/>
        </w:rPr>
        <w:t xml:space="preserve">ветке в рекламной стеле, по указанию материала, из которого возможно изготовление рекламной конструкции, по включению в предлагаемые зоны размещения рекламных конструкций, по запрету использования рекламы, конструктивно связанной с остановочным павильоном;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858"/>
        <w:ind w:right="0"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Cs w:val="28"/>
        </w:rPr>
        <w:t xml:space="preserve">- несоблюдении формы, предусмотренной приложением </w:t>
        <w:br w:type="textWrapping" w:clear="all"/>
        <w:t xml:space="preserve">1 к Положению.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7"/>
        <w:ind w:right="0" w:firstLine="708"/>
        <w:jc w:val="both"/>
        <w:rPr>
          <w:rFonts w:ascii="PT Astra Serif" w:hAnsi="PT Astra Serif" w:eastAsia="Times New Roman" w:cs="PT Astra Serif"/>
          <w:color w:val="000000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 xml:space="preserve">Также в ранее представленном на рассмотрение проекте МНПА предусматривались нормы, содержащие неопределенность, в частн</w:t>
      </w:r>
      <w:r>
        <w:rPr>
          <w:rFonts w:ascii="PT Astra Serif" w:hAnsi="PT Astra Serif" w:cs="PT Astra Serif"/>
          <w:sz w:val="28"/>
          <w:szCs w:val="28"/>
        </w:rPr>
        <w:t xml:space="preserve">ости формулировка «Размер видеоэкрана определяется индивидуально» (пункт 2.2 Приложения к Проекту МНПА) и «Размер конструкции определяется индивидуально» (пункт 2.7 Приложения к Проекту МНПА), что могло привести к неоднозначному толкованию положений МНПА.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</w:p>
    <w:p>
      <w:pPr>
        <w:pStyle w:val="858"/>
        <w:ind w:right="0" w:firstLine="720"/>
        <w:jc w:val="both"/>
        <w:rPr>
          <w:rFonts w:ascii="PT Astra Serif" w:hAnsi="PT Astra Serif" w:eastAsia="Times New Roman" w:cs="PT Astra Serif"/>
          <w:color w:val="000000"/>
          <w:szCs w:val="28"/>
          <w:lang w:eastAsia="ru-RU"/>
        </w:rPr>
      </w:pP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Заключение на </w:t>
      </w:r>
      <w:r>
        <w:rPr>
          <w:rFonts w:ascii="PT Astra Serif" w:hAnsi="PT Astra Serif" w:cs="PT Astra Serif"/>
          <w:szCs w:val="28"/>
        </w:rPr>
        <w:t xml:space="preserve">доработку проекта МНПА направлено 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11.08.2025.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</w:p>
    <w:p>
      <w:pPr>
        <w:pStyle w:val="858"/>
        <w:jc w:val="both"/>
        <w:rPr>
          <w:rFonts w:ascii="PT Astra Serif" w:hAnsi="PT Astra Serif" w:eastAsia="Times New Roman" w:cs="PT Astra Serif"/>
          <w:color w:val="000000"/>
          <w:szCs w:val="28"/>
          <w:lang w:eastAsia="ru-RU"/>
        </w:rPr>
      </w:pP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Представленный сводный отчет соответствует требованиям части 2 статьи 4 закона Алтайского края от 10.11.2014 №90-ЗС.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</w:p>
    <w:p>
      <w:pPr>
        <w:pStyle w:val="858"/>
        <w:jc w:val="both"/>
        <w:rPr>
          <w:rFonts w:ascii="PT Astra Serif" w:hAnsi="PT Astra Serif" w:eastAsia="Times New Roman" w:cs="PT Astra Serif"/>
          <w:color w:val="000000"/>
          <w:szCs w:val="28"/>
          <w:lang w:eastAsia="ru-RU"/>
        </w:rPr>
      </w:pP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Форма, предусмотренная приложением 1 к Положению, при подготовке сводного отчета соблюдена. 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</w:p>
    <w:p>
      <w:pPr>
        <w:pStyle w:val="858"/>
        <w:jc w:val="both"/>
        <w:rPr>
          <w:rFonts w:ascii="PT Astra Serif" w:hAnsi="PT Astra Serif" w:eastAsia="Times New Roman" w:cs="PT Astra Serif"/>
          <w:color w:val="000000"/>
          <w:szCs w:val="28"/>
          <w:lang w:eastAsia="ru-RU"/>
        </w:rPr>
      </w:pP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Интернет-сайте города.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</w:p>
    <w:p>
      <w:pPr>
        <w:pStyle w:val="858"/>
        <w:jc w:val="both"/>
        <w:rPr>
          <w:rFonts w:ascii="PT Astra Serif" w:hAnsi="PT Astra Serif" w:cs="PT Astra Serif"/>
          <w:color w:val="000000"/>
          <w:szCs w:val="28"/>
        </w:rPr>
      </w:pP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Публичное обсуждение проекта МНПА и сводного отчета проводилось </w:t>
        <w:br w:type="textWrapping" w:clear="all"/>
        <w:t xml:space="preserve">в период с 23.06.2025 по 14.07.2025.</w:t>
      </w:r>
      <w:r>
        <w:rPr>
          <w:rFonts w:ascii="PT Astra Serif" w:hAnsi="PT Astra Serif" w:cs="PT Astra Serif"/>
          <w:color w:val="000000"/>
          <w:szCs w:val="28"/>
        </w:rPr>
      </w:r>
      <w:r>
        <w:rPr>
          <w:rFonts w:ascii="PT Astra Serif" w:hAnsi="PT Astra Serif" w:cs="PT Astra Serif"/>
          <w:color w:val="000000"/>
          <w:szCs w:val="28"/>
        </w:rPr>
      </w:r>
    </w:p>
    <w:p>
      <w:pPr>
        <w:pStyle w:val="85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color w:val="000000"/>
          <w:szCs w:val="28"/>
        </w:rPr>
        <w:t xml:space="preserve">Извещения о начале публичного обсуждения в соответствии с частью 3 </w:t>
        <w:br w:type="textWrapping" w:clear="all"/>
        <w:t xml:space="preserve">статьи 5 закона Алтайского края от 10.11.2014 №90-ЗС были направлены: </w:t>
        <w:br w:type="textWrapping" w:clear="all"/>
      </w:r>
      <w:r>
        <w:rPr>
          <w:rFonts w:ascii="PT Astra Serif" w:hAnsi="PT Astra Serif" w:cs="PT Astra Serif"/>
          <w:szCs w:val="28"/>
        </w:rPr>
        <w:t xml:space="preserve">в администрацию Индустриального района гор</w:t>
      </w:r>
      <w:r>
        <w:rPr>
          <w:rFonts w:ascii="PT Astra Serif" w:hAnsi="PT Astra Serif" w:cs="PT Astra Serif"/>
          <w:szCs w:val="28"/>
        </w:rPr>
        <w:t xml:space="preserve">ода Барнаула, администрацию Ленинского района города Барнаула, администрацию Железнодорожного района города Барнаула, администрацию Центрального района города Барнаула, администрацию Октябрьского района города Барнаула, правовой комитет администрации город</w:t>
      </w:r>
      <w:r>
        <w:rPr>
          <w:rFonts w:ascii="PT Astra Serif" w:hAnsi="PT Astra Serif" w:cs="PT Astra Serif"/>
          <w:szCs w:val="28"/>
        </w:rPr>
        <w:t xml:space="preserve">а Барнаула, Уполномоченному по защите прав предпринимателей в Алтайском крае, ООО «АПР-СИТИ/ТВД», ООО «РА АРТ-МАСТЕР», ООО «ПРОПАГАНДА», ООО «Дельфин», «СОЮЗ РЕКЛАМИСТОВ БАРНАУЛА», РГ «Маркетинг-реклама», РГ «Торговая Марка», ООО «Стрит Медиа», ИП Рыб С.Г.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858"/>
        <w:ind w:right="0" w:firstLine="720"/>
        <w:jc w:val="both"/>
        <w:widowControl w:val="off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Разработчиком в соответствии с частью 6 статьи 5 закона Алтайского края от 10.11.2014 №90-ЗС в течение срока, предусмотренного для принятия разработчиком приложений в связи с проведением публичного обсуждения проекта МНПА и сводного от</w:t>
      </w:r>
      <w:r>
        <w:rPr>
          <w:rFonts w:ascii="PT Astra Serif" w:hAnsi="PT Astra Serif" w:cs="PT Astra Serif"/>
          <w:szCs w:val="28"/>
        </w:rPr>
        <w:t xml:space="preserve">чета, рассмотрено 32 поступивших предложения. При подготовке заключения было установлено, что разработчиком обосновано и мотивировано учтено 16 предложений, частично учтено 10 предложений, не учтено 6 предложений, поступивших в ходе публичного обсуждения. 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858"/>
        <w:ind w:right="0" w:firstLine="720"/>
        <w:jc w:val="both"/>
        <w:widowControl w:val="off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По результатам проведения публичного обсуждения разработчиком было принято решение о доработке сводного отчета и проекта МНПА и направлении ответственному за подготовку заключения доработанных проекта МНПА и сводного отчета.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858"/>
        <w:ind w:right="0" w:firstLine="720"/>
        <w:jc w:val="both"/>
        <w:spacing w:line="230" w:lineRule="auto"/>
        <w:widowControl w:val="off"/>
        <w:rPr>
          <w:rFonts w:ascii="PT Astra Serif" w:hAnsi="PT Astra Serif" w:eastAsia="Times New Roman" w:cs="PT Astra Serif"/>
          <w:color w:val="000000"/>
          <w:szCs w:val="28"/>
          <w:lang w:eastAsia="ru-RU"/>
        </w:rPr>
      </w:pPr>
      <w:r>
        <w:rPr>
          <w:rFonts w:ascii="PT Astra Serif" w:hAnsi="PT Astra Serif" w:cs="PT Astra Serif"/>
          <w:szCs w:val="28"/>
        </w:rPr>
        <w:t xml:space="preserve">В доработанный по результатам публичного обсуждения сводный отчет разработчиком 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включены сведения о проведении публичного обсуждения, сроках его проведения, сводка предложений, поступивших в связи с проведением публичного обсуждения.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</w:p>
    <w:p>
      <w:pPr>
        <w:pStyle w:val="858"/>
        <w:ind w:right="0" w:firstLine="720"/>
        <w:jc w:val="both"/>
        <w:spacing w:line="230" w:lineRule="auto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Доработанные по результатам публичного обсуждения </w:t>
      </w:r>
      <w:r>
        <w:rPr>
          <w:rFonts w:ascii="PT Astra Serif" w:hAnsi="PT Astra Serif" w:cs="PT Astra Serif"/>
          <w:szCs w:val="28"/>
        </w:rPr>
        <w:t xml:space="preserve">проект МНПА и сводный отчет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 разработчиком размещены на официальном Интернет-сайте города Барнаула.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858"/>
        <w:ind w:right="0"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Cs w:val="28"/>
        </w:rPr>
        <w:t xml:space="preserve">По результатам рассмотрения повторно поступившего для подготовки заключения проекта МНПА и сводного отчета установлено, что при подготовке проекта МНПА разработчиком соблюден порядок проведения оценки регулирующего воздействия.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7"/>
        <w:ind w:right="0"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 xml:space="preserve">На основе проведения оценки регулирующего воздействия проекта МНПА с учетом информации, представленной разр</w:t>
      </w:r>
      <w:r>
        <w:rPr>
          <w:rFonts w:ascii="PT Astra Serif" w:hAnsi="PT Astra Serif" w:cs="PT Astra Serif"/>
          <w:sz w:val="28"/>
          <w:szCs w:val="28"/>
        </w:rPr>
        <w:t xml:space="preserve">аботчиком в сводном отчете, комитетом экономического развития и инвестиционной деятельности администрации города Барнаула сделан следующий вывод: представленный проект МНПА не содержит положений, вводящих избыточные обязанности, запреты и ограничения для с</w:t>
      </w:r>
      <w:r>
        <w:rPr>
          <w:rFonts w:ascii="PT Astra Serif" w:hAnsi="PT Astra Serif" w:cs="PT Astra Serif"/>
          <w:sz w:val="28"/>
          <w:szCs w:val="28"/>
        </w:rPr>
        <w:t xml:space="preserve">убъектов предпринимательской и иной экономической деятельности, или способствующих их введению, а также положений, приводящих к возникновению необоснованных расходов субъектов предпринимательской и иной экономической деятельности и бюджета города Барнаула.</w:t>
      </w: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  <w:lang w:eastAsia="ru-RU"/>
        </w:rPr>
      </w:r>
    </w:p>
    <w:p>
      <w:pPr>
        <w:pStyle w:val="858"/>
        <w:ind w:right="0" w:firstLine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  <w:lang w:eastAsia="ru-RU"/>
        </w:rPr>
      </w:r>
    </w:p>
    <w:p>
      <w:pPr>
        <w:pStyle w:val="858"/>
        <w:ind w:right="0" w:firstLine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  <w:lang w:eastAsia="ru-RU"/>
        </w:rPr>
      </w:r>
    </w:p>
    <w:p>
      <w:pPr>
        <w:ind w:left="0" w:right="0" w:firstLine="0"/>
        <w:jc w:val="both"/>
        <w:spacing w:line="235" w:lineRule="auto"/>
        <w:rPr>
          <w:rFonts w:ascii="PT Astra Serif" w:hAnsi="PT Astra Serif"/>
          <w:sz w:val="28"/>
          <w:szCs w:val="28"/>
          <w14:ligatures w14:val="none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  <w:t xml:space="preserve">Заместитель председателя комитета - </w:t>
      </w:r>
      <w:r>
        <w:rPr>
          <w:rFonts w:ascii="PT Astra Serif" w:hAnsi="PT Astra Serif"/>
          <w:sz w:val="28"/>
          <w:szCs w:val="28"/>
          <w14:ligatures w14:val="none"/>
        </w:rPr>
      </w:r>
      <w:r>
        <w:rPr>
          <w:rFonts w:ascii="PT Astra Serif" w:hAnsi="PT Astra Serif"/>
          <w:sz w:val="28"/>
          <w:szCs w:val="28"/>
          <w14:ligatures w14:val="none"/>
        </w:rPr>
      </w:r>
    </w:p>
    <w:p>
      <w:pPr>
        <w:ind w:left="0" w:right="0" w:firstLine="0"/>
        <w:jc w:val="both"/>
        <w:spacing w:line="235" w:lineRule="auto"/>
        <w:rPr>
          <w:rFonts w:ascii="PT Astra Serif" w:hAnsi="PT Astra Serif"/>
          <w:sz w:val="28"/>
          <w:szCs w:val="28"/>
          <w14:ligatures w14:val="none"/>
        </w:rPr>
      </w:pPr>
      <w:r>
        <w:rPr>
          <w:rFonts w:ascii="PT Astra Serif" w:hAnsi="PT Astra Serif"/>
          <w:sz w:val="28"/>
          <w:szCs w:val="28"/>
        </w:rPr>
        <w:t xml:space="preserve">начальник отдела ценообразования </w:t>
      </w:r>
      <w:r>
        <w:rPr>
          <w:rFonts w:ascii="PT Astra Serif" w:hAnsi="PT Astra Serif"/>
          <w:sz w:val="28"/>
          <w:szCs w:val="28"/>
          <w14:ligatures w14:val="none"/>
        </w:rPr>
      </w:r>
      <w:r>
        <w:rPr>
          <w:rFonts w:ascii="PT Astra Serif" w:hAnsi="PT Astra Serif"/>
          <w:sz w:val="28"/>
          <w:szCs w:val="28"/>
          <w14:ligatures w14:val="none"/>
        </w:rPr>
      </w:r>
    </w:p>
    <w:p>
      <w:pPr>
        <w:ind w:left="0" w:right="0" w:firstLine="0"/>
        <w:jc w:val="both"/>
        <w:spacing w:line="235" w:lineRule="auto"/>
        <w:rPr>
          <w:rFonts w:ascii="PT Astra Serif" w:hAnsi="PT Astra Serif"/>
          <w:sz w:val="28"/>
          <w:szCs w:val="28"/>
          <w14:ligatures w14:val="none"/>
        </w:rPr>
      </w:pPr>
      <w:r>
        <w:rPr>
          <w:rFonts w:ascii="PT Astra Serif" w:hAnsi="PT Astra Serif"/>
          <w:sz w:val="28"/>
          <w:szCs w:val="28"/>
        </w:rPr>
        <w:t xml:space="preserve">комитета экономического развития </w:t>
      </w:r>
      <w:r>
        <w:rPr>
          <w:rFonts w:ascii="PT Astra Serif" w:hAnsi="PT Astra Serif"/>
          <w:sz w:val="28"/>
          <w:szCs w:val="28"/>
          <w14:ligatures w14:val="none"/>
        </w:rPr>
      </w:r>
      <w:r>
        <w:rPr>
          <w:rFonts w:ascii="PT Astra Serif" w:hAnsi="PT Astra Serif"/>
          <w:sz w:val="28"/>
          <w:szCs w:val="28"/>
          <w14:ligatures w14:val="none"/>
        </w:rPr>
      </w:r>
    </w:p>
    <w:p>
      <w:pPr>
        <w:ind w:left="0" w:right="0" w:firstLine="0"/>
        <w:jc w:val="both"/>
        <w:spacing w:line="235" w:lineRule="auto"/>
        <w:rPr>
          <w:rFonts w:ascii="PT Astra Serif" w:hAnsi="PT Astra Serif"/>
          <w:sz w:val="28"/>
          <w:szCs w:val="28"/>
          <w14:ligatures w14:val="none"/>
        </w:rPr>
      </w:pPr>
      <w:r>
        <w:rPr>
          <w:rFonts w:ascii="PT Astra Serif" w:hAnsi="PT Astra Serif"/>
          <w:sz w:val="28"/>
          <w:szCs w:val="28"/>
        </w:rPr>
        <w:t xml:space="preserve">и инвестиционной деятельности </w:t>
      </w:r>
      <w:r>
        <w:rPr>
          <w:rFonts w:ascii="PT Astra Serif" w:hAnsi="PT Astra Serif"/>
          <w:sz w:val="28"/>
          <w:szCs w:val="28"/>
          <w14:ligatures w14:val="none"/>
        </w:rPr>
      </w:r>
      <w:r>
        <w:rPr>
          <w:rFonts w:ascii="PT Astra Serif" w:hAnsi="PT Astra Serif"/>
          <w:sz w:val="28"/>
          <w:szCs w:val="28"/>
          <w14:ligatures w14:val="none"/>
        </w:rPr>
      </w:r>
    </w:p>
    <w:p>
      <w:pPr>
        <w:pStyle w:val="858"/>
        <w:ind w:left="0" w:right="0" w:firstLine="0"/>
        <w:rPr>
          <w:rFonts w:ascii="PT Astra Serif" w:hAnsi="PT Astra Serif" w:cs="PT Astra Serif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Барнаула</w:t>
      </w:r>
      <w:r>
        <w:rPr>
          <w:rFonts w:ascii="PT Astra Serif" w:hAnsi="PT Astra Serif" w:cs="PT Astra Serif"/>
          <w:szCs w:val="28"/>
        </w:rPr>
        <w:tab/>
        <w:t xml:space="preserve">                                                              </w:t>
      </w:r>
      <w:r>
        <w:rPr>
          <w:rFonts w:ascii="PT Astra Serif" w:hAnsi="PT Astra Serif" w:cs="PT Astra Serif"/>
          <w:szCs w:val="28"/>
        </w:rPr>
        <w:t xml:space="preserve">Н</w:t>
      </w:r>
      <w:r>
        <w:rPr>
          <w:rFonts w:ascii="PT Astra Serif" w:hAnsi="PT Astra Serif" w:cs="PT Astra Serif"/>
          <w:szCs w:val="28"/>
        </w:rPr>
        <w:t xml:space="preserve">.</w:t>
      </w:r>
      <w:r>
        <w:rPr>
          <w:rFonts w:ascii="PT Astra Serif" w:hAnsi="PT Astra Serif" w:cs="PT Astra Serif"/>
          <w:szCs w:val="28"/>
        </w:rPr>
        <w:t xml:space="preserve">Е</w:t>
      </w:r>
      <w:r>
        <w:rPr>
          <w:rFonts w:ascii="PT Astra Serif" w:hAnsi="PT Astra Serif" w:cs="PT Astra Serif"/>
          <w:szCs w:val="28"/>
        </w:rPr>
        <w:t xml:space="preserve">. </w:t>
      </w:r>
      <w:r>
        <w:rPr>
          <w:rFonts w:ascii="PT Astra Serif" w:hAnsi="PT Astra Serif" w:cs="PT Astra Serif"/>
          <w:szCs w:val="28"/>
        </w:rPr>
        <w:t xml:space="preserve">Юркина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858"/>
        <w:ind w:right="0" w:firstLine="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sectPr>
      <w:headerReference w:type="default" r:id="rId9"/>
      <w:head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1134" w:right="567" w:bottom="1134" w:left="113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Noto Sans Devanagari">
    <w:panose1 w:val="020B0502040504020204"/>
  </w:font>
  <w:font w:name="Tahoma">
    <w:panose1 w:val="020B060403050404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right"/>
    </w:pPr>
    <w:r>
      <w:fldChar w:fldCharType="begin"/>
    </w:r>
    <w:r>
      <w:instrText xml:space="preserve"> PAGE </w:instrText>
    </w:r>
    <w:r>
      <w:fldChar w:fldCharType="separate"/>
    </w:r>
    <w:r>
      <w:t xml:space="preserve">3</w:t>
    </w:r>
    <w:r>
      <w:fldChar w:fldCharType="end"/>
    </w:r>
    <w:r/>
  </w:p>
  <w:p>
    <w:pPr>
      <w:pStyle w:val="8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link w:val="859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58"/>
    <w:next w:val="858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58"/>
    <w:next w:val="858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58"/>
    <w:next w:val="858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58"/>
    <w:next w:val="858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58"/>
    <w:next w:val="858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58"/>
    <w:next w:val="858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58"/>
    <w:next w:val="858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58"/>
    <w:next w:val="858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58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58"/>
    <w:next w:val="858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58"/>
    <w:next w:val="858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58"/>
    <w:next w:val="858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8"/>
    <w:next w:val="858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link w:val="892"/>
    <w:uiPriority w:val="99"/>
  </w:style>
  <w:style w:type="character" w:styleId="712">
    <w:name w:val="Footer Char"/>
    <w:link w:val="893"/>
    <w:uiPriority w:val="99"/>
  </w:style>
  <w:style w:type="character" w:styleId="713">
    <w:name w:val="Caption Char"/>
    <w:link w:val="880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58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858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8"/>
    <w:next w:val="858"/>
    <w:uiPriority w:val="99"/>
    <w:unhideWhenUsed/>
    <w:pPr>
      <w:spacing w:after="0" w:afterAutospacing="0"/>
    </w:pPr>
  </w:style>
  <w:style w:type="table" w:styleId="85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58" w:default="1">
    <w:name w:val="Normal"/>
    <w:next w:val="858"/>
    <w:link w:val="858"/>
    <w:pPr>
      <w:ind w:left="0" w:right="0" w:firstLine="709"/>
      <w:widowControl/>
    </w:pPr>
    <w:rPr>
      <w:rFonts w:ascii="Times New Roman" w:hAnsi="Times New Roman" w:eastAsia="Calibri" w:cs="Times New Roman"/>
      <w:color w:val="auto"/>
      <w:sz w:val="28"/>
      <w:szCs w:val="24"/>
      <w:lang w:val="ru-RU" w:eastAsia="zh-CN" w:bidi="ar-SA"/>
    </w:rPr>
  </w:style>
  <w:style w:type="paragraph" w:styleId="859">
    <w:name w:val="Heading 1"/>
    <w:basedOn w:val="858"/>
    <w:next w:val="878"/>
    <w:link w:val="858"/>
    <w:pPr>
      <w:numPr>
        <w:ilvl w:val="0"/>
        <w:numId w:val="1"/>
      </w:numPr>
      <w:ind w:left="0" w:right="0" w:firstLine="0"/>
      <w:spacing w:before="280" w:after="280"/>
      <w:outlineLvl w:val="0"/>
    </w:pPr>
    <w:rPr>
      <w:rFonts w:eastAsia="Times New Roman"/>
      <w:b/>
      <w:bCs/>
      <w:sz w:val="48"/>
      <w:szCs w:val="48"/>
      <w:lang w:val="en-US"/>
    </w:rPr>
  </w:style>
  <w:style w:type="character" w:styleId="860">
    <w:name w:val="WW8Num1z0"/>
    <w:next w:val="860"/>
    <w:link w:val="858"/>
    <w:rPr>
      <w:rFonts w:ascii="Symbol" w:hAnsi="Symbol" w:cs="Symbol"/>
    </w:rPr>
  </w:style>
  <w:style w:type="character" w:styleId="861">
    <w:name w:val="WW8Num1z1"/>
    <w:next w:val="861"/>
    <w:link w:val="858"/>
    <w:rPr>
      <w:rFonts w:ascii="Courier New" w:hAnsi="Courier New" w:cs="Courier New"/>
    </w:rPr>
  </w:style>
  <w:style w:type="character" w:styleId="862">
    <w:name w:val="WW8Num1z2"/>
    <w:next w:val="862"/>
    <w:link w:val="858"/>
    <w:rPr>
      <w:rFonts w:ascii="Wingdings" w:hAnsi="Wingdings" w:cs="Wingdings"/>
    </w:rPr>
  </w:style>
  <w:style w:type="character" w:styleId="863">
    <w:name w:val="WW8Num2z0"/>
    <w:next w:val="863"/>
    <w:link w:val="858"/>
    <w:rPr>
      <w:rFonts w:ascii="Symbol" w:hAnsi="Symbol" w:cs="Symbol"/>
    </w:rPr>
  </w:style>
  <w:style w:type="character" w:styleId="864">
    <w:name w:val="WW8Num2z1"/>
    <w:next w:val="864"/>
    <w:link w:val="858"/>
    <w:rPr>
      <w:rFonts w:ascii="Courier New" w:hAnsi="Courier New" w:cs="Courier New"/>
    </w:rPr>
  </w:style>
  <w:style w:type="character" w:styleId="865">
    <w:name w:val="WW8Num2z2"/>
    <w:next w:val="865"/>
    <w:link w:val="858"/>
    <w:rPr>
      <w:rFonts w:ascii="Wingdings" w:hAnsi="Wingdings" w:cs="Wingdings"/>
    </w:rPr>
  </w:style>
  <w:style w:type="character" w:styleId="866">
    <w:name w:val="Основной шрифт абзаца"/>
    <w:next w:val="866"/>
    <w:link w:val="858"/>
  </w:style>
  <w:style w:type="character" w:styleId="867">
    <w:name w:val="Текст выноски Знак"/>
    <w:next w:val="867"/>
    <w:link w:val="858"/>
    <w:rPr>
      <w:rFonts w:ascii="Tahoma" w:hAnsi="Tahoma" w:eastAsia="Calibri" w:cs="Times New Roman"/>
      <w:sz w:val="16"/>
      <w:szCs w:val="16"/>
      <w:lang w:val="en-US"/>
    </w:rPr>
  </w:style>
  <w:style w:type="character" w:styleId="868">
    <w:name w:val="Hyperlink"/>
    <w:next w:val="868"/>
    <w:link w:val="858"/>
    <w:rPr>
      <w:color w:val="0000ff"/>
      <w:u w:val="single"/>
    </w:rPr>
  </w:style>
  <w:style w:type="character" w:styleId="869">
    <w:name w:val="Основной текст с отступом 2 Знак"/>
    <w:next w:val="869"/>
    <w:link w:val="858"/>
    <w:rPr>
      <w:rFonts w:eastAsia="Times New Roman"/>
      <w:sz w:val="28"/>
      <w:szCs w:val="24"/>
      <w:lang w:val="en-US"/>
    </w:rPr>
  </w:style>
  <w:style w:type="character" w:styleId="870">
    <w:name w:val="apple-converted-space"/>
    <w:next w:val="870"/>
  </w:style>
  <w:style w:type="character" w:styleId="871">
    <w:name w:val="Заголовок 1 Знак"/>
    <w:next w:val="871"/>
    <w:link w:val="858"/>
    <w:rPr>
      <w:rFonts w:eastAsia="Times New Roman"/>
      <w:b/>
      <w:bCs/>
      <w:sz w:val="48"/>
      <w:szCs w:val="48"/>
    </w:rPr>
  </w:style>
  <w:style w:type="character" w:styleId="872">
    <w:name w:val="Верхний колонтитул Знак"/>
    <w:next w:val="872"/>
    <w:link w:val="858"/>
    <w:rPr>
      <w:sz w:val="28"/>
      <w:szCs w:val="24"/>
    </w:rPr>
  </w:style>
  <w:style w:type="character" w:styleId="873">
    <w:name w:val="Нижний колонтитул Знак"/>
    <w:next w:val="873"/>
    <w:link w:val="858"/>
    <w:rPr>
      <w:sz w:val="28"/>
      <w:szCs w:val="24"/>
    </w:rPr>
  </w:style>
  <w:style w:type="character" w:styleId="874">
    <w:name w:val="Знак примечания"/>
    <w:next w:val="874"/>
    <w:link w:val="858"/>
    <w:rPr>
      <w:sz w:val="16"/>
      <w:szCs w:val="16"/>
    </w:rPr>
  </w:style>
  <w:style w:type="character" w:styleId="875">
    <w:name w:val="Текст примечания Знак"/>
    <w:next w:val="875"/>
    <w:link w:val="858"/>
  </w:style>
  <w:style w:type="character" w:styleId="876">
    <w:name w:val="Тема примечания Знак"/>
    <w:next w:val="876"/>
    <w:link w:val="858"/>
    <w:rPr>
      <w:b/>
      <w:bCs/>
    </w:rPr>
  </w:style>
  <w:style w:type="paragraph" w:styleId="877">
    <w:name w:val="Заголовок"/>
    <w:basedOn w:val="858"/>
    <w:next w:val="878"/>
    <w:link w:val="858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78">
    <w:name w:val="Body Text"/>
    <w:basedOn w:val="858"/>
    <w:next w:val="878"/>
    <w:link w:val="858"/>
    <w:pPr>
      <w:spacing w:before="0" w:after="140" w:line="276" w:lineRule="auto"/>
    </w:pPr>
  </w:style>
  <w:style w:type="paragraph" w:styleId="879">
    <w:name w:val="List"/>
    <w:basedOn w:val="878"/>
    <w:next w:val="879"/>
    <w:link w:val="858"/>
    <w:rPr>
      <w:rFonts w:ascii="PT Astra Serif" w:hAnsi="PT Astra Serif" w:cs="Noto Sans Devanagari"/>
    </w:rPr>
  </w:style>
  <w:style w:type="paragraph" w:styleId="880">
    <w:name w:val="Caption"/>
    <w:basedOn w:val="858"/>
    <w:next w:val="880"/>
    <w:link w:val="858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81">
    <w:name w:val="Указатель"/>
    <w:basedOn w:val="858"/>
    <w:next w:val="881"/>
    <w:link w:val="858"/>
    <w:pPr>
      <w:suppressLineNumbers/>
    </w:pPr>
    <w:rPr>
      <w:rFonts w:ascii="PT Astra Serif" w:hAnsi="PT Astra Serif" w:cs="Noto Sans Devanagari"/>
    </w:rPr>
  </w:style>
  <w:style w:type="paragraph" w:styleId="882">
    <w:name w:val="caption1"/>
    <w:basedOn w:val="858"/>
    <w:next w:val="882"/>
    <w:link w:val="858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83">
    <w:name w:val="Текст выноски"/>
    <w:basedOn w:val="858"/>
    <w:next w:val="883"/>
    <w:link w:val="858"/>
    <w:rPr>
      <w:rFonts w:ascii="Tahoma" w:hAnsi="Tahoma" w:cs="Tahoma"/>
      <w:sz w:val="16"/>
      <w:szCs w:val="16"/>
      <w:lang w:val="en-US"/>
    </w:rPr>
  </w:style>
  <w:style w:type="paragraph" w:styleId="884">
    <w:name w:val="Стиль4"/>
    <w:basedOn w:val="858"/>
    <w:next w:val="884"/>
    <w:link w:val="858"/>
    <w:pPr>
      <w:ind w:left="0" w:right="0" w:firstLine="851"/>
      <w:jc w:val="both"/>
    </w:pPr>
    <w:rPr>
      <w:rFonts w:ascii="Courier New" w:hAnsi="Courier New" w:eastAsia="Times New Roman" w:cs="Courier New"/>
      <w:szCs w:val="20"/>
    </w:rPr>
  </w:style>
  <w:style w:type="paragraph" w:styleId="885">
    <w:name w:val="Основной текст с отступом 2"/>
    <w:basedOn w:val="858"/>
    <w:next w:val="885"/>
    <w:link w:val="858"/>
    <w:pPr>
      <w:ind w:left="0" w:right="0" w:firstLine="720"/>
      <w:jc w:val="both"/>
    </w:pPr>
    <w:rPr>
      <w:rFonts w:eastAsia="Times New Roman"/>
      <w:lang w:val="en-US"/>
    </w:rPr>
  </w:style>
  <w:style w:type="paragraph" w:styleId="886">
    <w:name w:val="Абзац списка"/>
    <w:basedOn w:val="858"/>
    <w:next w:val="886"/>
    <w:link w:val="858"/>
    <w:pPr>
      <w:contextualSpacing/>
      <w:ind w:left="720" w:right="0" w:firstLine="0"/>
      <w:spacing w:before="0" w:after="0"/>
    </w:pPr>
    <w:rPr>
      <w:rFonts w:ascii="Calibri" w:hAnsi="Calibri" w:cs="Calibri"/>
      <w:sz w:val="22"/>
      <w:szCs w:val="22"/>
    </w:rPr>
  </w:style>
  <w:style w:type="paragraph" w:styleId="887">
    <w:name w:val="ConsPlusNonformat"/>
    <w:next w:val="887"/>
    <w:link w:val="858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88">
    <w:name w:val="Заголовок статьи"/>
    <w:basedOn w:val="858"/>
    <w:next w:val="858"/>
    <w:link w:val="858"/>
    <w:pPr>
      <w:ind w:left="1612" w:right="0" w:hanging="892"/>
      <w:jc w:val="both"/>
    </w:pPr>
    <w:rPr>
      <w:rFonts w:ascii="Arial" w:hAnsi="Arial" w:cs="Arial"/>
      <w:sz w:val="24"/>
    </w:rPr>
  </w:style>
  <w:style w:type="paragraph" w:styleId="889">
    <w:name w:val="Обычный (веб)"/>
    <w:basedOn w:val="858"/>
    <w:next w:val="889"/>
    <w:link w:val="858"/>
    <w:pPr>
      <w:ind w:left="0" w:right="0" w:firstLine="0"/>
      <w:spacing w:before="280" w:after="280"/>
    </w:pPr>
    <w:rPr>
      <w:rFonts w:eastAsia="Times New Roman"/>
      <w:sz w:val="24"/>
    </w:rPr>
  </w:style>
  <w:style w:type="paragraph" w:styleId="890">
    <w:name w:val="Рецензия"/>
    <w:next w:val="890"/>
    <w:link w:val="858"/>
    <w:pPr>
      <w:widowControl/>
    </w:pPr>
    <w:rPr>
      <w:rFonts w:ascii="Times New Roman" w:hAnsi="Times New Roman" w:eastAsia="Calibri" w:cs="Times New Roman"/>
      <w:color w:val="auto"/>
      <w:sz w:val="28"/>
      <w:szCs w:val="24"/>
      <w:lang w:val="ru-RU" w:eastAsia="zh-CN" w:bidi="ar-SA"/>
    </w:rPr>
  </w:style>
  <w:style w:type="paragraph" w:styleId="891">
    <w:name w:val="Header and Footer"/>
    <w:basedOn w:val="858"/>
    <w:next w:val="891"/>
    <w:link w:val="858"/>
    <w:pPr>
      <w:tabs>
        <w:tab w:val="center" w:pos="4819" w:leader="none"/>
        <w:tab w:val="right" w:pos="9638" w:leader="none"/>
      </w:tabs>
      <w:suppressLineNumbers/>
    </w:pPr>
  </w:style>
  <w:style w:type="paragraph" w:styleId="892">
    <w:name w:val="Header"/>
    <w:basedOn w:val="858"/>
    <w:next w:val="892"/>
    <w:link w:val="858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893">
    <w:name w:val="Footer"/>
    <w:basedOn w:val="858"/>
    <w:next w:val="893"/>
    <w:link w:val="858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894">
    <w:name w:val="Основное меню (преемственное)"/>
    <w:basedOn w:val="858"/>
    <w:next w:val="858"/>
    <w:link w:val="858"/>
    <w:pPr>
      <w:ind w:left="0" w:right="0" w:firstLine="720"/>
      <w:jc w:val="both"/>
      <w:widowControl w:val="off"/>
    </w:pPr>
    <w:rPr>
      <w:rFonts w:ascii="Verdana" w:hAnsi="Verdana" w:eastAsia="Times New Roman" w:cs="Verdana"/>
      <w:sz w:val="22"/>
      <w:szCs w:val="22"/>
    </w:rPr>
  </w:style>
  <w:style w:type="paragraph" w:styleId="895">
    <w:name w:val="Текст примечания"/>
    <w:basedOn w:val="858"/>
    <w:next w:val="895"/>
    <w:rPr>
      <w:sz w:val="20"/>
      <w:szCs w:val="20"/>
    </w:rPr>
  </w:style>
  <w:style w:type="paragraph" w:styleId="896">
    <w:name w:val="Тема примечания"/>
    <w:basedOn w:val="895"/>
    <w:next w:val="895"/>
    <w:link w:val="858"/>
    <w:rPr>
      <w:b/>
      <w:bCs/>
    </w:rPr>
  </w:style>
  <w:style w:type="character" w:styleId="897" w:default="1">
    <w:name w:val="Default Paragraph Font"/>
    <w:uiPriority w:val="1"/>
    <w:semiHidden/>
    <w:unhideWhenUsed/>
  </w:style>
  <w:style w:type="numbering" w:styleId="89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beyfus.ky</dc:creator>
  <cp:lastModifiedBy>aksenov.yi</cp:lastModifiedBy>
  <cp:revision>54</cp:revision>
  <dcterms:created xsi:type="dcterms:W3CDTF">2024-09-05T02:45:00Z</dcterms:created>
  <dcterms:modified xsi:type="dcterms:W3CDTF">2025-09-25T07:54:10Z</dcterms:modified>
</cp:coreProperties>
</file>