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12A" w:rsidRPr="00C8412A" w:rsidRDefault="00C8412A" w:rsidP="00C8412A">
      <w:pPr>
        <w:jc w:val="center"/>
        <w:rPr>
          <w:color w:val="0F243E" w:themeColor="text2" w:themeShade="80"/>
          <w:sz w:val="32"/>
          <w:szCs w:val="32"/>
        </w:rPr>
      </w:pPr>
      <w:bookmarkStart w:id="0" w:name="_GoBack"/>
      <w:r w:rsidRPr="00C8412A">
        <w:rPr>
          <w:color w:val="0F243E" w:themeColor="text2" w:themeShade="80"/>
          <w:sz w:val="32"/>
          <w:szCs w:val="32"/>
        </w:rPr>
        <w:t>Не вправе применять упр</w:t>
      </w:r>
      <w:r>
        <w:rPr>
          <w:color w:val="0F243E" w:themeColor="text2" w:themeShade="80"/>
          <w:sz w:val="32"/>
          <w:szCs w:val="32"/>
        </w:rPr>
        <w:t>ощенную систему налогообложения</w:t>
      </w:r>
      <w:bookmarkEnd w:id="0"/>
      <w:r>
        <w:rPr>
          <w:color w:val="0F243E" w:themeColor="text2" w:themeShade="80"/>
          <w:sz w:val="32"/>
          <w:szCs w:val="32"/>
        </w:rPr>
        <w:t>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9179"/>
      </w:tblGrid>
      <w:tr w:rsidR="00C8412A" w:rsidTr="00C8412A">
        <w:tc>
          <w:tcPr>
            <w:tcW w:w="959" w:type="dxa"/>
            <w:shd w:val="clear" w:color="auto" w:fill="DBE5F1" w:themeFill="accent1" w:themeFillTint="33"/>
          </w:tcPr>
          <w:p w:rsidR="00C8412A" w:rsidRDefault="00C8412A" w:rsidP="00C8412A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9179" w:type="dxa"/>
            <w:shd w:val="clear" w:color="auto" w:fill="DBE5F1" w:themeFill="accent1" w:themeFillTint="33"/>
          </w:tcPr>
          <w:p w:rsidR="00C8412A" w:rsidRDefault="00C8412A" w:rsidP="005D42B7">
            <w:pPr>
              <w:jc w:val="center"/>
            </w:pPr>
            <w:r>
              <w:t xml:space="preserve">Виды деятельности, иные </w:t>
            </w:r>
            <w:r w:rsidR="005D42B7">
              <w:t>ограничения</w:t>
            </w:r>
          </w:p>
        </w:tc>
      </w:tr>
      <w:tr w:rsidR="00C8412A" w:rsidTr="00EE518F">
        <w:tc>
          <w:tcPr>
            <w:tcW w:w="959" w:type="dxa"/>
            <w:shd w:val="clear" w:color="auto" w:fill="DBE5F1" w:themeFill="accent1" w:themeFillTint="33"/>
          </w:tcPr>
          <w:p w:rsidR="00C8412A" w:rsidRDefault="00C8412A" w:rsidP="00C8412A">
            <w:pPr>
              <w:jc w:val="center"/>
            </w:pPr>
            <w:r>
              <w:t>1.</w:t>
            </w:r>
          </w:p>
        </w:tc>
        <w:tc>
          <w:tcPr>
            <w:tcW w:w="9179" w:type="dxa"/>
          </w:tcPr>
          <w:p w:rsidR="00C8412A" w:rsidRDefault="00C8412A" w:rsidP="00C8412A">
            <w:r>
              <w:t>Организации, имеющие филиалы</w:t>
            </w:r>
          </w:p>
        </w:tc>
      </w:tr>
      <w:tr w:rsidR="00C8412A" w:rsidTr="00EE518F">
        <w:tc>
          <w:tcPr>
            <w:tcW w:w="959" w:type="dxa"/>
            <w:shd w:val="clear" w:color="auto" w:fill="DBE5F1" w:themeFill="accent1" w:themeFillTint="33"/>
          </w:tcPr>
          <w:p w:rsidR="00C8412A" w:rsidRDefault="00C8412A" w:rsidP="00C8412A">
            <w:pPr>
              <w:jc w:val="center"/>
            </w:pPr>
            <w:r>
              <w:t>2.</w:t>
            </w:r>
          </w:p>
        </w:tc>
        <w:tc>
          <w:tcPr>
            <w:tcW w:w="9179" w:type="dxa"/>
          </w:tcPr>
          <w:p w:rsidR="00C8412A" w:rsidRDefault="00C8412A" w:rsidP="00C8412A">
            <w:r>
              <w:t>Банки</w:t>
            </w:r>
          </w:p>
        </w:tc>
      </w:tr>
      <w:tr w:rsidR="00C8412A" w:rsidTr="00EE518F">
        <w:tc>
          <w:tcPr>
            <w:tcW w:w="959" w:type="dxa"/>
            <w:shd w:val="clear" w:color="auto" w:fill="DBE5F1" w:themeFill="accent1" w:themeFillTint="33"/>
          </w:tcPr>
          <w:p w:rsidR="00C8412A" w:rsidRDefault="00C8412A" w:rsidP="00C8412A">
            <w:pPr>
              <w:jc w:val="center"/>
            </w:pPr>
            <w:r>
              <w:t>3.</w:t>
            </w:r>
          </w:p>
        </w:tc>
        <w:tc>
          <w:tcPr>
            <w:tcW w:w="9179" w:type="dxa"/>
          </w:tcPr>
          <w:p w:rsidR="00C8412A" w:rsidRDefault="00C8412A" w:rsidP="00C8412A">
            <w:r>
              <w:t>Страховщики</w:t>
            </w:r>
          </w:p>
        </w:tc>
      </w:tr>
      <w:tr w:rsidR="00C8412A" w:rsidTr="00EE518F">
        <w:tc>
          <w:tcPr>
            <w:tcW w:w="959" w:type="dxa"/>
            <w:shd w:val="clear" w:color="auto" w:fill="DBE5F1" w:themeFill="accent1" w:themeFillTint="33"/>
          </w:tcPr>
          <w:p w:rsidR="00C8412A" w:rsidRDefault="00C8412A" w:rsidP="00C8412A">
            <w:pPr>
              <w:jc w:val="center"/>
            </w:pPr>
            <w:r>
              <w:t>4.</w:t>
            </w:r>
          </w:p>
        </w:tc>
        <w:tc>
          <w:tcPr>
            <w:tcW w:w="9179" w:type="dxa"/>
          </w:tcPr>
          <w:p w:rsidR="00C8412A" w:rsidRDefault="00C8412A" w:rsidP="00C8412A">
            <w:r>
              <w:t>Негосударственные пенсионные фонды</w:t>
            </w:r>
          </w:p>
        </w:tc>
      </w:tr>
      <w:tr w:rsidR="00C8412A" w:rsidTr="00EE518F">
        <w:tc>
          <w:tcPr>
            <w:tcW w:w="959" w:type="dxa"/>
            <w:shd w:val="clear" w:color="auto" w:fill="DBE5F1" w:themeFill="accent1" w:themeFillTint="33"/>
          </w:tcPr>
          <w:p w:rsidR="00C8412A" w:rsidRDefault="00C8412A" w:rsidP="00C8412A">
            <w:pPr>
              <w:jc w:val="center"/>
            </w:pPr>
            <w:r>
              <w:t>5.</w:t>
            </w:r>
          </w:p>
        </w:tc>
        <w:tc>
          <w:tcPr>
            <w:tcW w:w="9179" w:type="dxa"/>
          </w:tcPr>
          <w:p w:rsidR="00C8412A" w:rsidRDefault="00C8412A" w:rsidP="00C8412A">
            <w:r>
              <w:t>Инвестиционные фонды</w:t>
            </w:r>
          </w:p>
        </w:tc>
      </w:tr>
      <w:tr w:rsidR="00C8412A" w:rsidTr="00EE518F">
        <w:tc>
          <w:tcPr>
            <w:tcW w:w="959" w:type="dxa"/>
            <w:shd w:val="clear" w:color="auto" w:fill="DBE5F1" w:themeFill="accent1" w:themeFillTint="33"/>
          </w:tcPr>
          <w:p w:rsidR="00C8412A" w:rsidRDefault="00C8412A" w:rsidP="00C8412A">
            <w:pPr>
              <w:jc w:val="center"/>
            </w:pPr>
            <w:r>
              <w:t>6.</w:t>
            </w:r>
          </w:p>
        </w:tc>
        <w:tc>
          <w:tcPr>
            <w:tcW w:w="9179" w:type="dxa"/>
          </w:tcPr>
          <w:p w:rsidR="00C8412A" w:rsidRDefault="00C8412A" w:rsidP="00C8412A">
            <w:r>
              <w:t>Профессиональные участники рынка ценных бумаг</w:t>
            </w:r>
          </w:p>
        </w:tc>
      </w:tr>
      <w:tr w:rsidR="00C8412A" w:rsidTr="00EE518F">
        <w:tc>
          <w:tcPr>
            <w:tcW w:w="959" w:type="dxa"/>
            <w:shd w:val="clear" w:color="auto" w:fill="DBE5F1" w:themeFill="accent1" w:themeFillTint="33"/>
          </w:tcPr>
          <w:p w:rsidR="00C8412A" w:rsidRDefault="00C8412A" w:rsidP="00C8412A">
            <w:pPr>
              <w:jc w:val="center"/>
            </w:pPr>
            <w:r>
              <w:t>7.</w:t>
            </w:r>
          </w:p>
        </w:tc>
        <w:tc>
          <w:tcPr>
            <w:tcW w:w="9179" w:type="dxa"/>
            <w:shd w:val="clear" w:color="auto" w:fill="auto"/>
          </w:tcPr>
          <w:p w:rsidR="00C8412A" w:rsidRDefault="00C8412A" w:rsidP="00C8412A">
            <w:r>
              <w:t>Ломбарды</w:t>
            </w:r>
          </w:p>
        </w:tc>
      </w:tr>
      <w:tr w:rsidR="00C8412A" w:rsidTr="00EE518F">
        <w:tc>
          <w:tcPr>
            <w:tcW w:w="959" w:type="dxa"/>
            <w:shd w:val="clear" w:color="auto" w:fill="DBE5F1" w:themeFill="accent1" w:themeFillTint="33"/>
          </w:tcPr>
          <w:p w:rsidR="00C8412A" w:rsidRDefault="00C8412A" w:rsidP="00C8412A">
            <w:pPr>
              <w:jc w:val="center"/>
            </w:pPr>
            <w:r>
              <w:t>8.</w:t>
            </w:r>
          </w:p>
        </w:tc>
        <w:tc>
          <w:tcPr>
            <w:tcW w:w="9179" w:type="dxa"/>
          </w:tcPr>
          <w:p w:rsidR="00C8412A" w:rsidRDefault="00C8412A" w:rsidP="00C8412A">
            <w:r>
              <w:t xml:space="preserve">Организации и индивидуальные предприниматели, </w:t>
            </w:r>
            <w:r w:rsidRPr="00C8412A">
              <w:rPr>
                <w:b/>
              </w:rPr>
              <w:t>производящие подакцизные товары (</w:t>
            </w:r>
            <w:r>
              <w:t xml:space="preserve">за исключением подакцизного винограда, вина, игристого вина, включая российское шампанское, виноматериалов, виноградного сусла, произведенных из винограда собственного производства), а также </w:t>
            </w:r>
            <w:r w:rsidRPr="00C8412A">
              <w:rPr>
                <w:b/>
              </w:rPr>
              <w:t>осуществляющие добычу и реализацию полезных ископаемых</w:t>
            </w:r>
            <w:r>
              <w:t xml:space="preserve"> (за исключением общераспространенных полезных ископаемых)</w:t>
            </w:r>
          </w:p>
        </w:tc>
      </w:tr>
      <w:tr w:rsidR="00C8412A" w:rsidTr="00EE518F">
        <w:tc>
          <w:tcPr>
            <w:tcW w:w="959" w:type="dxa"/>
            <w:shd w:val="clear" w:color="auto" w:fill="DBE5F1" w:themeFill="accent1" w:themeFillTint="33"/>
          </w:tcPr>
          <w:p w:rsidR="00C8412A" w:rsidRDefault="00C8412A" w:rsidP="00C8412A">
            <w:pPr>
              <w:jc w:val="center"/>
            </w:pPr>
            <w:r>
              <w:t>9.</w:t>
            </w:r>
          </w:p>
        </w:tc>
        <w:tc>
          <w:tcPr>
            <w:tcW w:w="9179" w:type="dxa"/>
          </w:tcPr>
          <w:p w:rsidR="00C8412A" w:rsidRDefault="00C8412A" w:rsidP="00C8412A">
            <w:r>
              <w:t>Организации, осуществляющие деятельность по организации и проведению азартных игр</w:t>
            </w:r>
          </w:p>
        </w:tc>
      </w:tr>
      <w:tr w:rsidR="00C8412A" w:rsidTr="00EE518F">
        <w:tc>
          <w:tcPr>
            <w:tcW w:w="959" w:type="dxa"/>
            <w:shd w:val="clear" w:color="auto" w:fill="DBE5F1" w:themeFill="accent1" w:themeFillTint="33"/>
          </w:tcPr>
          <w:p w:rsidR="00C8412A" w:rsidRDefault="00C8412A" w:rsidP="00C8412A">
            <w:pPr>
              <w:jc w:val="center"/>
            </w:pPr>
            <w:r>
              <w:t>10.</w:t>
            </w:r>
          </w:p>
        </w:tc>
        <w:tc>
          <w:tcPr>
            <w:tcW w:w="9179" w:type="dxa"/>
          </w:tcPr>
          <w:p w:rsidR="00C8412A" w:rsidRDefault="00C8412A" w:rsidP="00C8412A">
            <w:r>
              <w:t>Нотариусы, занимающиеся частной практикой, адвокаты, учредившие адвокатские кабинеты, а также иные формы адвокатских образований</w:t>
            </w:r>
          </w:p>
        </w:tc>
      </w:tr>
      <w:tr w:rsidR="00C8412A" w:rsidTr="00EE518F">
        <w:tc>
          <w:tcPr>
            <w:tcW w:w="959" w:type="dxa"/>
            <w:shd w:val="clear" w:color="auto" w:fill="DBE5F1" w:themeFill="accent1" w:themeFillTint="33"/>
          </w:tcPr>
          <w:p w:rsidR="00C8412A" w:rsidRDefault="00C8412A" w:rsidP="00C8412A">
            <w:pPr>
              <w:jc w:val="center"/>
            </w:pPr>
            <w:r>
              <w:t>11.</w:t>
            </w:r>
          </w:p>
        </w:tc>
        <w:tc>
          <w:tcPr>
            <w:tcW w:w="9179" w:type="dxa"/>
          </w:tcPr>
          <w:p w:rsidR="00C8412A" w:rsidRDefault="00C8412A" w:rsidP="00C8412A">
            <w:r>
              <w:t>Организации, являющиеся участниками соглашений о разделе продукции</w:t>
            </w:r>
          </w:p>
        </w:tc>
      </w:tr>
      <w:tr w:rsidR="00C8412A" w:rsidTr="00EE518F">
        <w:tc>
          <w:tcPr>
            <w:tcW w:w="959" w:type="dxa"/>
            <w:shd w:val="clear" w:color="auto" w:fill="DBE5F1" w:themeFill="accent1" w:themeFillTint="33"/>
          </w:tcPr>
          <w:p w:rsidR="00C8412A" w:rsidRDefault="00C8412A" w:rsidP="00C8412A">
            <w:pPr>
              <w:jc w:val="center"/>
            </w:pPr>
            <w:r>
              <w:t>12.</w:t>
            </w:r>
          </w:p>
        </w:tc>
        <w:tc>
          <w:tcPr>
            <w:tcW w:w="9179" w:type="dxa"/>
          </w:tcPr>
          <w:p w:rsidR="00C8412A" w:rsidRDefault="00C8412A" w:rsidP="00C8412A">
            <w:r>
              <w:t xml:space="preserve">Организации и индивидуальные предприниматели, перешедшие на систему налогообложения для сельскохозяйственных товаропроизводителей (единый сельскохозяйственный налог) </w:t>
            </w:r>
          </w:p>
        </w:tc>
      </w:tr>
      <w:tr w:rsidR="00C8412A" w:rsidTr="00EE518F">
        <w:tc>
          <w:tcPr>
            <w:tcW w:w="959" w:type="dxa"/>
            <w:shd w:val="clear" w:color="auto" w:fill="DBE5F1" w:themeFill="accent1" w:themeFillTint="33"/>
          </w:tcPr>
          <w:p w:rsidR="00C8412A" w:rsidRDefault="00C8412A" w:rsidP="00C8412A">
            <w:pPr>
              <w:jc w:val="center"/>
            </w:pPr>
            <w:r>
              <w:t>13.</w:t>
            </w:r>
          </w:p>
        </w:tc>
        <w:tc>
          <w:tcPr>
            <w:tcW w:w="9179" w:type="dxa"/>
          </w:tcPr>
          <w:p w:rsidR="00C8412A" w:rsidRDefault="00C8412A" w:rsidP="00C8412A">
            <w:r>
              <w:t>Организации, в которых доля участия других организаций составляет более 25 процентов</w:t>
            </w:r>
          </w:p>
        </w:tc>
      </w:tr>
      <w:tr w:rsidR="00C8412A" w:rsidTr="00EE518F">
        <w:tc>
          <w:tcPr>
            <w:tcW w:w="959" w:type="dxa"/>
            <w:shd w:val="clear" w:color="auto" w:fill="DBE5F1" w:themeFill="accent1" w:themeFillTint="33"/>
          </w:tcPr>
          <w:p w:rsidR="00C8412A" w:rsidRDefault="00C8412A" w:rsidP="00C8412A">
            <w:pPr>
              <w:jc w:val="center"/>
            </w:pPr>
            <w:r>
              <w:t>14.</w:t>
            </w:r>
          </w:p>
        </w:tc>
        <w:tc>
          <w:tcPr>
            <w:tcW w:w="9179" w:type="dxa"/>
          </w:tcPr>
          <w:p w:rsidR="00C8412A" w:rsidRDefault="00C8412A" w:rsidP="00C8412A">
            <w:r>
              <w:t xml:space="preserve">Организации, у которых остаточная стоимость основных средств, определяемая в соответствии с законодательством Российской Федерации о бухгалтерском учете, превышает 150 </w:t>
            </w:r>
            <w:proofErr w:type="gramStart"/>
            <w:r>
              <w:t>млн</w:t>
            </w:r>
            <w:proofErr w:type="gramEnd"/>
            <w:r>
              <w:t xml:space="preserve"> рублей</w:t>
            </w:r>
          </w:p>
        </w:tc>
      </w:tr>
      <w:tr w:rsidR="00C8412A" w:rsidTr="00EE518F">
        <w:tc>
          <w:tcPr>
            <w:tcW w:w="959" w:type="dxa"/>
            <w:shd w:val="clear" w:color="auto" w:fill="DBE5F1" w:themeFill="accent1" w:themeFillTint="33"/>
          </w:tcPr>
          <w:p w:rsidR="00C8412A" w:rsidRDefault="00C8412A" w:rsidP="00C8412A">
            <w:pPr>
              <w:jc w:val="center"/>
            </w:pPr>
            <w:r>
              <w:t>15.</w:t>
            </w:r>
          </w:p>
        </w:tc>
        <w:tc>
          <w:tcPr>
            <w:tcW w:w="9179" w:type="dxa"/>
          </w:tcPr>
          <w:p w:rsidR="00C8412A" w:rsidRDefault="00C8412A" w:rsidP="00C8412A">
            <w:r>
              <w:t>Казенные и бюджетные учреждения</w:t>
            </w:r>
          </w:p>
        </w:tc>
      </w:tr>
      <w:tr w:rsidR="00C8412A" w:rsidTr="00EE518F">
        <w:tc>
          <w:tcPr>
            <w:tcW w:w="959" w:type="dxa"/>
            <w:shd w:val="clear" w:color="auto" w:fill="DBE5F1" w:themeFill="accent1" w:themeFillTint="33"/>
          </w:tcPr>
          <w:p w:rsidR="00C8412A" w:rsidRDefault="00C8412A" w:rsidP="00C8412A">
            <w:pPr>
              <w:jc w:val="center"/>
            </w:pPr>
            <w:r>
              <w:t>16.</w:t>
            </w:r>
          </w:p>
        </w:tc>
        <w:tc>
          <w:tcPr>
            <w:tcW w:w="9179" w:type="dxa"/>
          </w:tcPr>
          <w:p w:rsidR="00C8412A" w:rsidRDefault="00C8412A" w:rsidP="00C8412A">
            <w:r>
              <w:t>Иностранные организации</w:t>
            </w:r>
          </w:p>
        </w:tc>
      </w:tr>
      <w:tr w:rsidR="00C8412A" w:rsidTr="00EE518F">
        <w:tc>
          <w:tcPr>
            <w:tcW w:w="959" w:type="dxa"/>
            <w:shd w:val="clear" w:color="auto" w:fill="DBE5F1" w:themeFill="accent1" w:themeFillTint="33"/>
          </w:tcPr>
          <w:p w:rsidR="00C8412A" w:rsidRDefault="00C8412A" w:rsidP="00C8412A">
            <w:pPr>
              <w:jc w:val="center"/>
            </w:pPr>
            <w:r>
              <w:t>17.</w:t>
            </w:r>
          </w:p>
        </w:tc>
        <w:tc>
          <w:tcPr>
            <w:tcW w:w="9179" w:type="dxa"/>
          </w:tcPr>
          <w:p w:rsidR="00C8412A" w:rsidRDefault="00C8412A" w:rsidP="00C8412A">
            <w:proofErr w:type="spellStart"/>
            <w:r>
              <w:t>Микрофинансовые</w:t>
            </w:r>
            <w:proofErr w:type="spellEnd"/>
            <w:r>
              <w:t xml:space="preserve"> организации</w:t>
            </w:r>
          </w:p>
        </w:tc>
      </w:tr>
      <w:tr w:rsidR="00C8412A" w:rsidTr="00EE518F">
        <w:tc>
          <w:tcPr>
            <w:tcW w:w="959" w:type="dxa"/>
            <w:shd w:val="clear" w:color="auto" w:fill="DBE5F1" w:themeFill="accent1" w:themeFillTint="33"/>
          </w:tcPr>
          <w:p w:rsidR="00C8412A" w:rsidRDefault="00EE518F" w:rsidP="00C8412A">
            <w:pPr>
              <w:jc w:val="center"/>
            </w:pPr>
            <w:r>
              <w:t>18.</w:t>
            </w:r>
          </w:p>
        </w:tc>
        <w:tc>
          <w:tcPr>
            <w:tcW w:w="9179" w:type="dxa"/>
          </w:tcPr>
          <w:p w:rsidR="00C8412A" w:rsidRDefault="00EE518F" w:rsidP="00C8412A">
            <w:r>
              <w:t>Частные агентства занятости, осуществляющие деятельность по предоставлению труда работников (персонала)</w:t>
            </w:r>
          </w:p>
        </w:tc>
      </w:tr>
      <w:tr w:rsidR="00C8412A" w:rsidTr="00EE518F">
        <w:tc>
          <w:tcPr>
            <w:tcW w:w="959" w:type="dxa"/>
            <w:shd w:val="clear" w:color="auto" w:fill="DBE5F1" w:themeFill="accent1" w:themeFillTint="33"/>
          </w:tcPr>
          <w:p w:rsidR="00C8412A" w:rsidRDefault="00EE518F" w:rsidP="00C8412A">
            <w:pPr>
              <w:jc w:val="center"/>
            </w:pPr>
            <w:r>
              <w:t>19.</w:t>
            </w:r>
          </w:p>
        </w:tc>
        <w:tc>
          <w:tcPr>
            <w:tcW w:w="9179" w:type="dxa"/>
          </w:tcPr>
          <w:p w:rsidR="00C8412A" w:rsidRDefault="00EE518F" w:rsidP="00C8412A">
            <w:r>
              <w:t>Организации и индивидуальные предприниматели, осуществляющие производство ювелирных и других изделий из драгоценных металлов или оптовую (розничную) торговлю ювелирными и другими изделиями из драгоценных металлов</w:t>
            </w:r>
          </w:p>
        </w:tc>
      </w:tr>
    </w:tbl>
    <w:p w:rsidR="00C8412A" w:rsidRDefault="00EE518F" w:rsidP="00C8412A">
      <w:r>
        <w:t xml:space="preserve"> </w:t>
      </w:r>
    </w:p>
    <w:sectPr w:rsidR="00C8412A" w:rsidSect="00C8412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484"/>
    <w:rsid w:val="000C1896"/>
    <w:rsid w:val="005D42B7"/>
    <w:rsid w:val="006B4484"/>
    <w:rsid w:val="00B22CBC"/>
    <w:rsid w:val="00C8412A"/>
    <w:rsid w:val="00EE5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1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Викторовна Лукьянова</dc:creator>
  <cp:lastModifiedBy>Ирина В. Гончарова</cp:lastModifiedBy>
  <cp:revision>2</cp:revision>
  <dcterms:created xsi:type="dcterms:W3CDTF">2023-03-21T07:55:00Z</dcterms:created>
  <dcterms:modified xsi:type="dcterms:W3CDTF">2023-03-21T07:55:00Z</dcterms:modified>
</cp:coreProperties>
</file>