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Установлены дополнительные гарантии пенсионного обеспечения для семей с детьми.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</w:p>
    <w:p>
      <w:pPr>
        <w:pBdr/>
        <w:spacing w:before="0" w:line="240" w:lineRule="auto"/>
        <w:ind w:firstLine="708" w:left="0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Федеральным законом от 28.11.2025 № 443-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ФЗ «О внесении изменений в статьи 1 и 2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и Федеральный закон «О страховых пенсиях»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перечень лиц, имеющих право на дополнительное материальное обеспечение, включены же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нщины, которым присвоено звание «Мать-героиня». Размер дополнительного материального обеспечения составит 415% размера социальной пенсии, указанного в пп. 1 п. 1 ст. 18 Федерального закона «О государственном пенсионном обеспечении в Российской Федерации».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Кроме 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го, согласно принятому закону, в страховой стаж для назначения пенсии будут включаться периоды ухода одного из родителей за каждым ребенком до достижения им возраста полутора лет, без установленного ранее ограничения «не более шести лет в общей сложности».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Перио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должны будут суммироваться с учетом их фактической продолжительности.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Федеральный закон вступает в силу с 1 января 2026 года. Действие отдельных положений распространено на правоотношения, возникшие с 1 января 2025 года».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2025-12-10T03:56:43Z</dcterms:modified>
</cp:coreProperties>
</file>