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right="0"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Приложение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ЗАКЛЮЧЕНИЕ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</w:rPr>
        <w:t xml:space="preserve">об оценке регулирующего воздействия</w:t>
      </w:r>
      <w:r>
        <w:rPr>
          <w:rFonts w:ascii="PT Astra Serif" w:hAnsi="PT Astra Serif" w:cs="PT Astra Serif"/>
          <w:sz w:val="28"/>
          <w:szCs w:val="28"/>
          <w:u w:val="single"/>
        </w:rPr>
      </w:r>
      <w:r>
        <w:rPr>
          <w:rFonts w:ascii="PT Astra Serif" w:hAnsi="PT Astra Serif" w:cs="PT Astra Serif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  <w:u w:val="single"/>
        </w:rPr>
        <w:t xml:space="preserve">26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.09.2025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ind w:right="0" w:firstLine="851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Комитет экономического развития и инвестиционной деятельности администрации города Барнаула в соответствии с Федеральным </w:t>
      </w:r>
      <w:r>
        <w:fldChar w:fldCharType="begin"/>
      </w:r>
      <w:r>
        <w:instrText xml:space="preserve"> HYPERLINK "consultantplus://offline/ref=B6BD57CD5728BE3A9D6FEFBA1F6D0616983671E4332D05E367E0C0477696EF78FD4D83E2C8cDn1K"</w:instrText>
      </w:r>
      <w:r>
        <w:fldChar w:fldCharType="separate"/>
      </w:r>
      <w:r>
        <w:rPr>
          <w:rStyle w:val="868"/>
          <w:rFonts w:ascii="PT Astra Serif" w:hAnsi="PT Astra Serif" w:eastAsia="Calibri" w:cs="PT Astra Serif"/>
          <w:color w:val="000000"/>
          <w:sz w:val="28"/>
          <w:szCs w:val="28"/>
          <w:u w:val="none"/>
        </w:rPr>
        <w:t xml:space="preserve">законом</w:t>
      </w:r>
      <w:r>
        <w:fldChar w:fldCharType="end"/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от 06.10.2003 №131-ФЗ «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законом Алтайского края от 10.11.2014 №90-ЗС «О порядке проведения оценки регулирующего воздействия проектов муниципальных нормативных правовых актов и экспертизы муниципальных</w:t>
      </w:r>
      <w:r>
        <w:rPr>
          <w:rFonts w:ascii="PT Astra Serif" w:hAnsi="PT Astra Serif" w:cs="PT Astra Serif"/>
          <w:sz w:val="28"/>
          <w:szCs w:val="28"/>
        </w:rPr>
        <w:t xml:space="preserve"> нормативных правовых актов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» (далее – закон Алтайского края от 10.11.2014 </w:t>
        <w:br w:type="textWrapping" w:clear="all"/>
        <w:t xml:space="preserve">№90-ЗС), Положением о проведении оценки регулирующего воздействия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проектов муниципальных нормативных правовых актов города Барнаула и экспертизы муниципальных нормативных правовых актов города Барнаула, утвержденным постановлением администрации города Барнаула от 23.09.2016 №1903 </w:t>
        <w:br/>
        <w:t xml:space="preserve">(далее – Положение), рассмотрел проект </w:t>
      </w:r>
      <w:r>
        <w:rPr>
          <w:rFonts w:ascii="PT Astra Serif" w:hAnsi="PT Astra Serif" w:cs="PT Astra Serif"/>
          <w:sz w:val="28"/>
          <w:szCs w:val="28"/>
        </w:rPr>
        <w:t xml:space="preserve">по</w:t>
      </w:r>
      <w:r>
        <w:rPr>
          <w:rFonts w:ascii="PT Astra Serif" w:hAnsi="PT Astra Serif" w:cs="PT Astra Serif"/>
          <w:sz w:val="28"/>
          <w:szCs w:val="28"/>
        </w:rPr>
        <w:t xml:space="preserve">становления администрации города </w:t>
        <w:br/>
        <w:t xml:space="preserve">«О внесении изменений и дополнений в приложения к постановлению администрации города от 27.11.2020 №1905 «Об утверждении схемы размещения нестационарных торговых объектов на территории города Барнаула» (в редакции постанов</w:t>
      </w:r>
      <w:r>
        <w:rPr>
          <w:rFonts w:ascii="PT Astra Serif" w:hAnsi="PT Astra Serif" w:cs="PT Astra Serif"/>
          <w:sz w:val="28"/>
          <w:szCs w:val="28"/>
        </w:rPr>
        <w:t xml:space="preserve">ления от 30.07.2025 №1135)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(далее – проект МНПА), разработанный и направленный для подготовки настоящего заключения комитетом по развитию предпринимательства, потребительскому рынку и вопросам труда администрации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города Барнаула (далее – разработчик), и сообщает следующее.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Проект МНПА и сводный отчет о проведении оценки регулирующего воздействия (далее – сводный отчет) направлены разработчиком для подготовки настоящего заключения впервые.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Требованиям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части 2 статьи 4 закона Алтайского края от 10.11.2014 №90-ЗС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сводный отчет соответствует.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Форма, предусмотренная приложением 1 к Положению, при подготовке сводного отчета соблюдена.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Интернет-сайте города.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Публичное обсуждение проекта МНПА и сводного отчета проводилось </w:t>
        <w:br w:type="textWrapping" w:clear="all"/>
        <w:t xml:space="preserve">в период с 03.07.2025 по 23.07.2025.</w:t>
      </w:r>
      <w:r>
        <w:rPr>
          <w:rFonts w:ascii="PT Astra Serif" w:hAnsi="PT Astra Serif" w:cs="PT Astra Serif"/>
          <w:color w:val="000000"/>
          <w:szCs w:val="28"/>
        </w:rPr>
      </w:r>
      <w:r>
        <w:rPr>
          <w:rFonts w:ascii="PT Astra Serif" w:hAnsi="PT Astra Serif" w:cs="PT Astra Serif"/>
          <w:color w:val="000000"/>
          <w:szCs w:val="28"/>
        </w:rPr>
      </w:r>
    </w:p>
    <w:p>
      <w:pPr>
        <w:pStyle w:val="85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color w:val="000000"/>
          <w:szCs w:val="28"/>
        </w:rPr>
        <w:t xml:space="preserve">Извещения о начале публичного обсуждения в соответствии с частью 3 </w:t>
        <w:br w:type="textWrapping" w:clear="all"/>
        <w:t xml:space="preserve">статьи 5 закона Алтайского края от 10.11.2014 №90-ЗС были направлены: </w:t>
        <w:br w:type="textWrapping" w:clear="all"/>
      </w:r>
      <w:r>
        <w:rPr>
          <w:rFonts w:ascii="PT Astra Serif" w:hAnsi="PT Astra Serif"/>
          <w:sz w:val="28"/>
          <w:szCs w:val="28"/>
        </w:rPr>
        <w:t xml:space="preserve">Уполномоченному по защите прав предпринимателей в Алтайском крае, в</w:t>
      </w:r>
      <w:r>
        <w:rPr>
          <w:rFonts w:ascii="PT Astra Serif" w:hAnsi="PT Astra Serif"/>
          <w:sz w:val="28"/>
          <w:szCs w:val="28"/>
        </w:rPr>
        <w:t xml:space="preserve"> НП «Алтайский союз предпринимателей», в администрации районов города Б</w:t>
      </w:r>
      <w:r>
        <w:rPr>
          <w:rFonts w:ascii="PT Astra Serif" w:hAnsi="PT Astra Serif"/>
          <w:sz w:val="28"/>
          <w:szCs w:val="28"/>
        </w:rPr>
        <w:t xml:space="preserve">арнаула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Разработчиком в соответствии с частью 6 статьи 5 закона Алтайского края от 10.11.2014 №90-ЗС в течение срока, предусмотренного для принятия разработчиком приложений в связи с проведением публичного обсуждения проекта МНПА и сводного от</w:t>
      </w:r>
      <w:r>
        <w:rPr>
          <w:rFonts w:ascii="PT Astra Serif" w:hAnsi="PT Astra Serif" w:cs="PT Astra Serif"/>
          <w:szCs w:val="28"/>
        </w:rPr>
        <w:t xml:space="preserve">чета, рассмотрено 19 поступивших предложения. При подготовке заключения было установлено, что разработчиком обосновано и мотивировано учтено 8 предложений, частично учтено 6 предложений, не учтено 5 предложений, поступивших в ходе публичного обсуждения.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По результатам проведения публичного обсуждения разработчиком было принято решение о доработке сводного отчета и проекта МНПА и направлении ответственному за подготовку заключения доработанных проекта МНПА и сводного отчета.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spacing w:line="230" w:lineRule="auto"/>
        <w:widowControl w:val="off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szCs w:val="28"/>
        </w:rPr>
        <w:t xml:space="preserve">В доработанный по результатам публичного обсуждения сводный отчет разработчиком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включены сведения о проведении публичного обсуждения, сроках его проведения, сводка предложений, поступивших в связи с проведением публичного обсуждения.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ind w:right="0" w:firstLine="720"/>
        <w:jc w:val="both"/>
        <w:spacing w:line="23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Доработанные по результатам публичного обсуждения </w:t>
      </w:r>
      <w:r>
        <w:rPr>
          <w:rFonts w:ascii="PT Astra Serif" w:hAnsi="PT Astra Serif" w:cs="PT Astra Serif"/>
          <w:szCs w:val="28"/>
        </w:rPr>
        <w:t xml:space="preserve">проект МНПА и сводный отчет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 разработчиком размещены на официальном Интернет-сайте города Барнаула.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По результатам рассмотрения повторно поступившего для подготовки заключения проекта МНПА и сводного отчета установлено, что при подготовке проекта МНПА разработчиком соблюден порядок проведения оценки регулирующего воздействия.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ind w:right="0"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На основе проведения оценки регулирующего воздействия проекта МНПА с учетом информации, представленной разр</w:t>
      </w:r>
      <w:r>
        <w:rPr>
          <w:rFonts w:ascii="PT Astra Serif" w:hAnsi="PT Astra Serif" w:cs="PT Astra Serif"/>
          <w:sz w:val="28"/>
          <w:szCs w:val="28"/>
        </w:rPr>
        <w:t xml:space="preserve">аботчиком в сводном отчете, комитетом экономического развития и инвестиционной деятельности администрации города Барнаула сделан следующий вывод: представленный проект МНПА не содержит положений, вводящих избыточные обязанности, запреты и ограничения для с</w:t>
      </w:r>
      <w:r>
        <w:rPr>
          <w:rFonts w:ascii="PT Astra Serif" w:hAnsi="PT Astra Serif" w:cs="PT Astra Serif"/>
          <w:sz w:val="28"/>
          <w:szCs w:val="28"/>
        </w:rPr>
        <w:t xml:space="preserve">убъектов предпринимательской и иной экономической деятельности,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 и бюджета города Барнаула.</w:t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Заместитель председателя комитета -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начальник отдела ценообразования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комитета экономического развития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35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и инвестиционной деятельности </w:t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858"/>
        <w:ind w:left="0" w:right="0"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Барнаула</w:t>
      </w:r>
      <w:r>
        <w:rPr>
          <w:rFonts w:ascii="PT Astra Serif" w:hAnsi="PT Astra Serif" w:cs="PT Astra Serif"/>
          <w:szCs w:val="28"/>
        </w:rPr>
        <w:tab/>
        <w:t xml:space="preserve">                                                              </w:t>
      </w:r>
      <w:r>
        <w:rPr>
          <w:rFonts w:ascii="PT Astra Serif" w:hAnsi="PT Astra Serif" w:cs="PT Astra Serif"/>
          <w:szCs w:val="28"/>
        </w:rPr>
        <w:t xml:space="preserve">Н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  <w:t xml:space="preserve">Е</w:t>
      </w:r>
      <w:r>
        <w:rPr>
          <w:rFonts w:ascii="PT Astra Serif" w:hAnsi="PT Astra Serif" w:cs="PT Astra Serif"/>
          <w:szCs w:val="28"/>
        </w:rPr>
        <w:t xml:space="preserve">. </w:t>
      </w:r>
      <w:r>
        <w:rPr>
          <w:rFonts w:ascii="PT Astra Serif" w:hAnsi="PT Astra Serif" w:cs="PT Astra Serif"/>
          <w:szCs w:val="28"/>
        </w:rPr>
        <w:t xml:space="preserve">Юркина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Tahoma">
    <w:panose1 w:val="020B060403050404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link w:val="892"/>
    <w:uiPriority w:val="99"/>
  </w:style>
  <w:style w:type="character" w:styleId="712">
    <w:name w:val="Footer Char"/>
    <w:link w:val="893"/>
    <w:uiPriority w:val="99"/>
  </w:style>
  <w:style w:type="character" w:styleId="713">
    <w:name w:val="Caption Char"/>
    <w:link w:val="880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8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8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8"/>
    <w:next w:val="858"/>
    <w:uiPriority w:val="99"/>
    <w:unhideWhenUsed/>
    <w:pPr>
      <w:spacing w:after="0" w:afterAutospacing="0"/>
    </w:pPr>
  </w:style>
  <w:style w:type="table" w:styleId="8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 w:default="1">
    <w:name w:val="Normal"/>
    <w:next w:val="858"/>
    <w:link w:val="858"/>
    <w:pPr>
      <w:ind w:left="0" w:right="0" w:firstLine="709"/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59">
    <w:name w:val="Heading 1"/>
    <w:basedOn w:val="858"/>
    <w:next w:val="878"/>
    <w:link w:val="858"/>
    <w:pPr>
      <w:numPr>
        <w:ilvl w:val="0"/>
        <w:numId w:val="1"/>
      </w:numPr>
      <w:ind w:left="0" w:right="0" w:firstLine="0"/>
      <w:spacing w:before="280" w:after="280"/>
      <w:outlineLvl w:val="0"/>
    </w:pPr>
    <w:rPr>
      <w:rFonts w:eastAsia="Times New Roman"/>
      <w:b/>
      <w:bCs/>
      <w:sz w:val="48"/>
      <w:szCs w:val="48"/>
      <w:lang w:val="en-US"/>
    </w:rPr>
  </w:style>
  <w:style w:type="character" w:styleId="860">
    <w:name w:val="WW8Num1z0"/>
    <w:next w:val="860"/>
    <w:link w:val="858"/>
    <w:rPr>
      <w:rFonts w:ascii="Symbol" w:hAnsi="Symbol" w:cs="Symbol"/>
    </w:rPr>
  </w:style>
  <w:style w:type="character" w:styleId="861">
    <w:name w:val="WW8Num1z1"/>
    <w:next w:val="861"/>
    <w:link w:val="858"/>
    <w:rPr>
      <w:rFonts w:ascii="Courier New" w:hAnsi="Courier New" w:cs="Courier New"/>
    </w:rPr>
  </w:style>
  <w:style w:type="character" w:styleId="862">
    <w:name w:val="WW8Num1z2"/>
    <w:next w:val="862"/>
    <w:link w:val="858"/>
    <w:rPr>
      <w:rFonts w:ascii="Wingdings" w:hAnsi="Wingdings" w:cs="Wingdings"/>
    </w:rPr>
  </w:style>
  <w:style w:type="character" w:styleId="863">
    <w:name w:val="WW8Num2z0"/>
    <w:next w:val="863"/>
    <w:link w:val="858"/>
    <w:rPr>
      <w:rFonts w:ascii="Symbol" w:hAnsi="Symbol" w:cs="Symbol"/>
    </w:rPr>
  </w:style>
  <w:style w:type="character" w:styleId="864">
    <w:name w:val="WW8Num2z1"/>
    <w:next w:val="864"/>
    <w:link w:val="858"/>
    <w:rPr>
      <w:rFonts w:ascii="Courier New" w:hAnsi="Courier New" w:cs="Courier New"/>
    </w:rPr>
  </w:style>
  <w:style w:type="character" w:styleId="865">
    <w:name w:val="WW8Num2z2"/>
    <w:next w:val="865"/>
    <w:link w:val="858"/>
    <w:rPr>
      <w:rFonts w:ascii="Wingdings" w:hAnsi="Wingdings" w:cs="Wingdings"/>
    </w:rPr>
  </w:style>
  <w:style w:type="character" w:styleId="866">
    <w:name w:val="Основной шрифт абзаца"/>
    <w:next w:val="866"/>
    <w:link w:val="858"/>
  </w:style>
  <w:style w:type="character" w:styleId="867">
    <w:name w:val="Текст выноски Знак"/>
    <w:next w:val="867"/>
    <w:link w:val="858"/>
    <w:rPr>
      <w:rFonts w:ascii="Tahoma" w:hAnsi="Tahoma" w:eastAsia="Calibri" w:cs="Times New Roman"/>
      <w:sz w:val="16"/>
      <w:szCs w:val="16"/>
      <w:lang w:val="en-US"/>
    </w:rPr>
  </w:style>
  <w:style w:type="character" w:styleId="868">
    <w:name w:val="Hyperlink"/>
    <w:next w:val="868"/>
    <w:link w:val="858"/>
    <w:rPr>
      <w:color w:val="0000ff"/>
      <w:u w:val="single"/>
    </w:rPr>
  </w:style>
  <w:style w:type="character" w:styleId="869">
    <w:name w:val="Основной текст с отступом 2 Знак"/>
    <w:next w:val="869"/>
    <w:link w:val="858"/>
    <w:rPr>
      <w:rFonts w:eastAsia="Times New Roman"/>
      <w:sz w:val="28"/>
      <w:szCs w:val="24"/>
      <w:lang w:val="en-US"/>
    </w:rPr>
  </w:style>
  <w:style w:type="character" w:styleId="870">
    <w:name w:val="apple-converted-space"/>
    <w:next w:val="870"/>
  </w:style>
  <w:style w:type="character" w:styleId="871">
    <w:name w:val="Заголовок 1 Знак"/>
    <w:next w:val="871"/>
    <w:link w:val="858"/>
    <w:rPr>
      <w:rFonts w:eastAsia="Times New Roman"/>
      <w:b/>
      <w:bCs/>
      <w:sz w:val="48"/>
      <w:szCs w:val="48"/>
    </w:rPr>
  </w:style>
  <w:style w:type="character" w:styleId="872">
    <w:name w:val="Верхний колонтитул Знак"/>
    <w:next w:val="872"/>
    <w:link w:val="858"/>
    <w:rPr>
      <w:sz w:val="28"/>
      <w:szCs w:val="24"/>
    </w:rPr>
  </w:style>
  <w:style w:type="character" w:styleId="873">
    <w:name w:val="Нижний колонтитул Знак"/>
    <w:next w:val="873"/>
    <w:link w:val="858"/>
    <w:rPr>
      <w:sz w:val="28"/>
      <w:szCs w:val="24"/>
    </w:rPr>
  </w:style>
  <w:style w:type="character" w:styleId="874">
    <w:name w:val="Знак примечания"/>
    <w:next w:val="874"/>
    <w:link w:val="858"/>
    <w:rPr>
      <w:sz w:val="16"/>
      <w:szCs w:val="16"/>
    </w:rPr>
  </w:style>
  <w:style w:type="character" w:styleId="875">
    <w:name w:val="Текст примечания Знак"/>
    <w:next w:val="875"/>
    <w:link w:val="858"/>
  </w:style>
  <w:style w:type="character" w:styleId="876">
    <w:name w:val="Тема примечания Знак"/>
    <w:next w:val="876"/>
    <w:link w:val="858"/>
    <w:rPr>
      <w:b/>
      <w:bCs/>
    </w:rPr>
  </w:style>
  <w:style w:type="paragraph" w:styleId="877">
    <w:name w:val="Заголовок"/>
    <w:basedOn w:val="858"/>
    <w:next w:val="878"/>
    <w:link w:val="85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8">
    <w:name w:val="Body Text"/>
    <w:basedOn w:val="858"/>
    <w:next w:val="878"/>
    <w:link w:val="858"/>
    <w:pPr>
      <w:spacing w:before="0" w:after="140" w:line="276" w:lineRule="auto"/>
    </w:pPr>
  </w:style>
  <w:style w:type="paragraph" w:styleId="879">
    <w:name w:val="List"/>
    <w:basedOn w:val="878"/>
    <w:next w:val="879"/>
    <w:link w:val="858"/>
    <w:rPr>
      <w:rFonts w:ascii="PT Astra Serif" w:hAnsi="PT Astra Serif" w:cs="Noto Sans Devanagari"/>
    </w:rPr>
  </w:style>
  <w:style w:type="paragraph" w:styleId="880">
    <w:name w:val="Caption"/>
    <w:basedOn w:val="858"/>
    <w:next w:val="880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1">
    <w:name w:val="Указатель"/>
    <w:basedOn w:val="858"/>
    <w:next w:val="881"/>
    <w:link w:val="858"/>
    <w:pPr>
      <w:suppressLineNumbers/>
    </w:pPr>
    <w:rPr>
      <w:rFonts w:ascii="PT Astra Serif" w:hAnsi="PT Astra Serif" w:cs="Noto Sans Devanagari"/>
    </w:rPr>
  </w:style>
  <w:style w:type="paragraph" w:styleId="882">
    <w:name w:val="caption1"/>
    <w:basedOn w:val="858"/>
    <w:next w:val="882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3">
    <w:name w:val="Текст выноски"/>
    <w:basedOn w:val="858"/>
    <w:next w:val="883"/>
    <w:link w:val="858"/>
    <w:rPr>
      <w:rFonts w:ascii="Tahoma" w:hAnsi="Tahoma" w:cs="Tahoma"/>
      <w:sz w:val="16"/>
      <w:szCs w:val="16"/>
      <w:lang w:val="en-US"/>
    </w:rPr>
  </w:style>
  <w:style w:type="paragraph" w:styleId="884">
    <w:name w:val="Стиль4"/>
    <w:basedOn w:val="858"/>
    <w:next w:val="884"/>
    <w:link w:val="858"/>
    <w:pPr>
      <w:ind w:left="0" w:right="0" w:firstLine="851"/>
      <w:jc w:val="both"/>
    </w:pPr>
    <w:rPr>
      <w:rFonts w:ascii="Courier New" w:hAnsi="Courier New" w:eastAsia="Times New Roman" w:cs="Courier New"/>
      <w:szCs w:val="20"/>
    </w:rPr>
  </w:style>
  <w:style w:type="paragraph" w:styleId="885">
    <w:name w:val="Основной текст с отступом 2"/>
    <w:basedOn w:val="858"/>
    <w:next w:val="885"/>
    <w:link w:val="858"/>
    <w:pPr>
      <w:ind w:left="0" w:right="0" w:firstLine="720"/>
      <w:jc w:val="both"/>
    </w:pPr>
    <w:rPr>
      <w:rFonts w:eastAsia="Times New Roman"/>
      <w:lang w:val="en-US"/>
    </w:rPr>
  </w:style>
  <w:style w:type="paragraph" w:styleId="886">
    <w:name w:val="Абзац списка"/>
    <w:basedOn w:val="858"/>
    <w:next w:val="886"/>
    <w:link w:val="858"/>
    <w:pPr>
      <w:contextualSpacing/>
      <w:ind w:left="720" w:right="0" w:firstLine="0"/>
      <w:spacing w:before="0" w:after="0"/>
    </w:pPr>
    <w:rPr>
      <w:rFonts w:ascii="Calibri" w:hAnsi="Calibri" w:cs="Calibri"/>
      <w:sz w:val="22"/>
      <w:szCs w:val="22"/>
    </w:rPr>
  </w:style>
  <w:style w:type="paragraph" w:styleId="887">
    <w:name w:val="ConsPlusNonformat"/>
    <w:next w:val="887"/>
    <w:link w:val="858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88">
    <w:name w:val="Заголовок статьи"/>
    <w:basedOn w:val="858"/>
    <w:next w:val="858"/>
    <w:link w:val="858"/>
    <w:pPr>
      <w:ind w:left="1612" w:right="0" w:hanging="892"/>
      <w:jc w:val="both"/>
    </w:pPr>
    <w:rPr>
      <w:rFonts w:ascii="Arial" w:hAnsi="Arial" w:cs="Arial"/>
      <w:sz w:val="24"/>
    </w:rPr>
  </w:style>
  <w:style w:type="paragraph" w:styleId="889">
    <w:name w:val="Обычный (веб)"/>
    <w:basedOn w:val="858"/>
    <w:next w:val="889"/>
    <w:link w:val="858"/>
    <w:pPr>
      <w:ind w:left="0" w:right="0" w:firstLine="0"/>
      <w:spacing w:before="280" w:after="280"/>
    </w:pPr>
    <w:rPr>
      <w:rFonts w:eastAsia="Times New Roman"/>
      <w:sz w:val="24"/>
    </w:rPr>
  </w:style>
  <w:style w:type="paragraph" w:styleId="890">
    <w:name w:val="Рецензия"/>
    <w:next w:val="890"/>
    <w:link w:val="858"/>
    <w:pPr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91">
    <w:name w:val="Header and Footer"/>
    <w:basedOn w:val="858"/>
    <w:next w:val="891"/>
    <w:link w:val="858"/>
    <w:pPr>
      <w:tabs>
        <w:tab w:val="center" w:pos="4819" w:leader="none"/>
        <w:tab w:val="right" w:pos="9638" w:leader="none"/>
      </w:tabs>
      <w:suppressLineNumbers/>
    </w:pPr>
  </w:style>
  <w:style w:type="paragraph" w:styleId="892">
    <w:name w:val="Header"/>
    <w:basedOn w:val="858"/>
    <w:next w:val="892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3">
    <w:name w:val="Footer"/>
    <w:basedOn w:val="858"/>
    <w:next w:val="893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4">
    <w:name w:val="Основное меню (преемственное)"/>
    <w:basedOn w:val="858"/>
    <w:next w:val="858"/>
    <w:link w:val="858"/>
    <w:pPr>
      <w:ind w:left="0" w:right="0" w:firstLine="720"/>
      <w:jc w:val="both"/>
      <w:widowControl w:val="off"/>
    </w:pPr>
    <w:rPr>
      <w:rFonts w:ascii="Verdana" w:hAnsi="Verdana" w:eastAsia="Times New Roman" w:cs="Verdana"/>
      <w:sz w:val="22"/>
      <w:szCs w:val="22"/>
    </w:rPr>
  </w:style>
  <w:style w:type="paragraph" w:styleId="895">
    <w:name w:val="Текст примечания"/>
    <w:basedOn w:val="858"/>
    <w:next w:val="895"/>
    <w:rPr>
      <w:sz w:val="20"/>
      <w:szCs w:val="20"/>
    </w:rPr>
  </w:style>
  <w:style w:type="paragraph" w:styleId="896">
    <w:name w:val="Тема примечания"/>
    <w:basedOn w:val="895"/>
    <w:next w:val="895"/>
    <w:link w:val="858"/>
    <w:rPr>
      <w:b/>
      <w:bCs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beyfus.ky</dc:creator>
  <cp:lastModifiedBy>aksenov.yi</cp:lastModifiedBy>
  <cp:revision>56</cp:revision>
  <dcterms:created xsi:type="dcterms:W3CDTF">2024-09-05T02:45:00Z</dcterms:created>
  <dcterms:modified xsi:type="dcterms:W3CDTF">2025-09-30T02:16:57Z</dcterms:modified>
</cp:coreProperties>
</file>