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ПАМЯТКА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pStyle w:val="620"/>
        <w:jc w:val="center"/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«Правила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нахождения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железнодорожном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транспорте»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  <w14:ligatures w14:val="none"/>
        </w:rPr>
      </w:r>
    </w:p>
    <w:p>
      <w:pPr>
        <w:pStyle w:val="620"/>
        <w:jc w:val="center"/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18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Будьте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осторожны!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Подходи к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железнодорожн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ым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путям,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как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это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банально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звучит,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надо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внимательно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осмотреться,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только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убедившись,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приближается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поезд,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можно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переходить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под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прямым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углом.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этом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следует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наступать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рельсы.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18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Нельзя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переходить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или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перебегать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приближающимся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поездом! Казалось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зачем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это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повторять?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сожалению,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многие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понимают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очевидные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вещей.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Верят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соб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венные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силы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недооценивают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«силы»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скорости тепловозов и электровозов.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Style w:val="6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Еще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напоминаем: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18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Вдоль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идти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можно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только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середине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широкого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междупутья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или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обочине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земляного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полотна.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18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Идти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внутри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рельсовой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колеи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или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концам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шпал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—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смертельно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опасно! Запнуться,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оступиться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может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любой,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это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будет его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последний,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глупый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рискованный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поступок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жизни!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18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При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приближения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подвижного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состава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необходимо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отходить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безопасное место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расстоянии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менее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двух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метров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крайнего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рельса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обращать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внимание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двери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борта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вагонов,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увязочную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проволоку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другие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предметы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поезда,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чтобы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они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задели вас!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18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При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переходе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через ж.д.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пути,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занятые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вагонами,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надо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пользоваться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тормозными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площадками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вагонов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или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обходить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состав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расстоянии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менее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5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метров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крайнего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вагона.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18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- 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территории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станции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имеются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пешеходные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мосты,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маршруты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служебного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прохода.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Вдоль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таких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маршрутов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установлены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указательные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знаки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«Служебный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проход».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Пользуйтесь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пожалуйста,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тем,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для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вас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сделано,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сделано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целях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безопасности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!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Особое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внимание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осторожность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проявляйте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темное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время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суток,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условиях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тумана,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дождя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любой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непогоды.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Style w:val="6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Категорически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запрещено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пользоваться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готовыми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телефонами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гарнитурами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ним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(наушниками)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 нахождении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ж.д.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пути.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Style w:val="6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Действия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граждан,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которые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допускаются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железнодорожных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путях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пассажирских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платформах: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Подлезать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под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пассажирскими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платформами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железнодорожным подвижным составом;</w:t>
      </w:r>
      <w:r>
        <w:rPr>
          <w:rFonts w:ascii="Times New Roman" w:hAnsi="Times New Roman" w:cs="Times New Roman"/>
          <w:sz w:val="27"/>
          <w:szCs w:val="27"/>
          <w14:ligatures w14:val="none"/>
        </w:rPr>
      </w:r>
      <w:r>
        <w:rPr>
          <w:rFonts w:ascii="Times New Roman" w:hAnsi="Times New Roman" w:cs="Times New Roman"/>
          <w:sz w:val="27"/>
          <w:szCs w:val="27"/>
          <w14:ligatures w14:val="none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16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2.Перелезать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через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автосцепные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устройства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между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вагонами;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3.Заходить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ограничительную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линию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края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пассажирской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платформы;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4.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Бежать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пассажирской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платформе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рядом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прибывающим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или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отправляющимся поездом;</w:t>
      </w:r>
      <w:r>
        <w:rPr>
          <w:rFonts w:ascii="Times New Roman" w:hAnsi="Times New Roman" w:cs="Times New Roman"/>
          <w:sz w:val="27"/>
          <w:szCs w:val="27"/>
          <w14:ligatures w14:val="none"/>
        </w:rPr>
      </w:r>
      <w:r>
        <w:rPr>
          <w:rFonts w:ascii="Times New Roman" w:hAnsi="Times New Roman" w:cs="Times New Roman"/>
          <w:sz w:val="27"/>
          <w:szCs w:val="27"/>
          <w14:ligatures w14:val="none"/>
        </w:rPr>
      </w:r>
    </w:p>
    <w:p>
      <w:pPr>
        <w:pStyle w:val="620"/>
        <w:jc w:val="both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5.Устраивать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различные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подвижные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игры;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14:ligatures w14:val="none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18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б.Прыгать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пассажирской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платформы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 железнодорожные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пути;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16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7.Проходить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железнодорожному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переезду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запрещающем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сигнале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светофора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переездной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сигнализации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независимо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положения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наличия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шлагбаума;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16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8.Подниматься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oпopы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специальные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конструкции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контактной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сети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воздушных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линий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искусственных сооружений;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:sz w:val="16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9.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Прикасаться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проводам,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идущим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 опор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специальных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конструкций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контактной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сети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воздушных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линий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электропередачи;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10.Приближаться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оборванным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проводам.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cs="Times New Roman"/>
          <w:sz w:val="27"/>
          <w:szCs w:val="27"/>
          <w14:ligatures w14:val="none"/>
        </w:rPr>
      </w:r>
      <w:r>
        <w:rPr>
          <w:rFonts w:ascii="Times New Roman" w:hAnsi="Times New Roman" w:cs="Times New Roman"/>
          <w:sz w:val="27"/>
          <w:szCs w:val="27"/>
          <w14:ligatures w14:val="none"/>
        </w:rPr>
      </w:r>
    </w:p>
    <w:p>
      <w:pPr>
        <w:pStyle w:val="620"/>
        <w:jc w:val="both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cs="Times New Roman"/>
          <w:sz w:val="27"/>
          <w:szCs w:val="27"/>
          <w14:ligatures w14:val="none"/>
        </w:rPr>
      </w:r>
      <w:r>
        <w:rPr>
          <w:rFonts w:ascii="Times New Roman" w:hAnsi="Times New Roman" w:cs="Times New Roman"/>
          <w:sz w:val="27"/>
          <w:szCs w:val="27"/>
          <w14:ligatures w14:val="none"/>
        </w:rPr>
      </w:r>
    </w:p>
    <w:p>
      <w:pPr>
        <w:pStyle w:val="620"/>
        <w:jc w:val="both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Style w:val="620"/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none"/>
        </w:rPr>
        <w:t xml:space="preserve">Будьте дисциплинированы!</w:t>
      </w:r>
      <w:r>
        <w:rPr>
          <w:rFonts w:ascii="Times New Roman" w:hAnsi="Times New Roman" w:cs="Times New Roman"/>
          <w:b/>
          <w:bCs/>
          <w:sz w:val="27"/>
          <w:szCs w:val="27"/>
          <w14:ligatures w14:val="none"/>
        </w:rPr>
      </w:r>
      <w:r>
        <w:rPr>
          <w:rFonts w:ascii="Times New Roman" w:hAnsi="Times New Roman" w:cs="Times New Roman"/>
          <w:b/>
          <w:bCs/>
          <w:sz w:val="27"/>
          <w:szCs w:val="27"/>
          <w14:ligatures w14:val="none"/>
        </w:rPr>
      </w:r>
    </w:p>
    <w:p>
      <w:pPr>
        <w:pStyle w:val="620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Не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нарушайте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установленные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правила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железнодорожном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транспорте!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pStyle w:val="6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Берегите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свою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жизнь!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7"/>
          <w:szCs w:val="27"/>
          <w14:ligatures w14:val="none"/>
        </w:rPr>
      </w:r>
    </w:p>
    <w:p>
      <w:pPr>
        <w:pStyle w:val="620"/>
        <w:jc w:val="left"/>
        <w:rPr>
          <w:rFonts w:ascii="Times New Roman" w:hAnsi="Times New Roman" w:cs="Times New Roman"/>
          <w:b/>
          <w:bCs/>
          <w:sz w:val="27"/>
          <w:szCs w:val="27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62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ПАМЯТКА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</w:r>
    </w:p>
    <w:p>
      <w:pPr>
        <w:pStyle w:val="620"/>
        <w:jc w:val="center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«Правила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безопасного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поведения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рядом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с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железнодорожным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транспортом</w:t>
      </w:r>
      <w:r>
        <w:rPr>
          <w:rFonts w:ascii="Times New Roman" w:hAnsi="Times New Roman" w:cs="Times New Roman"/>
          <w:b/>
          <w:bCs/>
          <w:sz w:val="27"/>
          <w:szCs w:val="27"/>
          <w14:ligatures w14:val="none"/>
        </w:rPr>
        <w:t xml:space="preserve">»</w:t>
      </w:r>
      <w:r>
        <w:rPr>
          <w:rFonts w:ascii="Times New Roman" w:hAnsi="Times New Roman" w:cs="Times New Roman"/>
          <w:b/>
          <w:bCs/>
          <w:sz w:val="27"/>
          <w:szCs w:val="27"/>
          <w14:ligatures w14:val="none"/>
        </w:rPr>
      </w:r>
    </w:p>
    <w:p>
      <w:pPr>
        <w:pStyle w:val="620"/>
        <w:jc w:val="center"/>
        <w:rPr>
          <w:rFonts w:ascii="Times New Roman" w:hAnsi="Times New Roman" w:cs="Times New Roman"/>
          <w:b/>
          <w:bCs/>
          <w:sz w:val="27"/>
          <w:szCs w:val="27"/>
          <w14:ligatures w14:val="none"/>
        </w:rPr>
      </w:pPr>
      <w:r>
        <w:rPr>
          <w:rFonts w:ascii="Times New Roman" w:hAnsi="Times New Roman" w:cs="Times New Roman"/>
          <w:b/>
          <w:bCs/>
          <w:sz w:val="27"/>
          <w:szCs w:val="27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7"/>
          <w:szCs w:val="27"/>
          <w:highlight w:val="none"/>
          <w14:ligatures w14:val="none"/>
        </w:rPr>
      </w:r>
    </w:p>
    <w:p>
      <w:pPr>
        <w:pStyle w:val="620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Железнодорожный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транспорт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является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важной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частью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нашей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жизни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—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каждый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день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тысячи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людей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пользуются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поездами, электричками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метро.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Однако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близкое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соседство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железной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дорогой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требует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нас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соблюдения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определенных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правил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безопасности.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Нарушение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этих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норм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может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привести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серьезным последствиям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вплоть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трагедий.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подготовили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несколько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простых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рекомендаций,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соблюдение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которых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поможет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сохранить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жизнь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здоровье каждого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гражданина.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Style w:val="620"/>
        <w:jc w:val="both"/>
        <w:rPr>
          <w:rFonts w:ascii="Times New Roman" w:hAnsi="Times New Roman" w:cs="Times New Roman"/>
          <w:b/>
          <w:bCs/>
          <w:color w:val="000000" w:themeColor="text1"/>
          <w:sz w:val="19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1. Ходите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исключительно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по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специально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оборудованным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переходам!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19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Пешеходы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часто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нарушают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правила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перехода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железнодорожных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путей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через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территорию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станций,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перебегая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дорогу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вне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специальных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пешеходных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мостиков,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тоннелей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или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настилов.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Это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крайне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опасно!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Состав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движется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быстро,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машинист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физически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успевает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затормозить перед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внезапно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появившимся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человеком.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Правило: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Переходите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строго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установленным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переходам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переездам.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Style w:val="620"/>
        <w:jc w:val="both"/>
        <w:rPr>
          <w:rFonts w:ascii="Times New Roman" w:hAnsi="Times New Roman" w:cs="Times New Roman"/>
          <w:b/>
          <w:bCs/>
          <w:color w:val="000000" w:themeColor="text1"/>
          <w:sz w:val="19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2. Соблюдайте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осторожность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возле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платформ!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Подходи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платформе,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будьте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внимательны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соблюдайте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особую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осторожность.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Передвижение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вдоль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края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платформы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недопустимо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—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можете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оказаться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слишком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близко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движущемуся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составу. Помните,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зазоры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между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вагонами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поезда достаточно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велики,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чтобы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человек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мог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попасть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туда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получить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серьезную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травму.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Правило: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Ожидая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прибытия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состава,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держитесь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подальше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края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платформы,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прислоняйтесь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поручням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столбикам.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Style w:val="620"/>
        <w:jc w:val="both"/>
        <w:rPr>
          <w:rFonts w:ascii="Times New Roman" w:hAnsi="Times New Roman" w:cs="Times New Roman"/>
          <w:b/>
          <w:bCs/>
          <w:color w:val="000000" w:themeColor="text1"/>
          <w:sz w:val="19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3. Никогда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не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садитесь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рельсы!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Многие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считают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отдых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рельсах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безопасным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занятием.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Однако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поезд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появляется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неожиданно и мгновенно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оказывается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рядом.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Люди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порой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недооценивают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скорость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движения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поездов,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полагаюсь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звуковые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сигналы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приближающегося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состава.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Увы,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зачастую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эта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уверенность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становится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роковой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ошибкой.</w:t>
      </w:r>
      <w:r>
        <w:rPr>
          <w:rFonts w:ascii="Times New Roman" w:hAnsi="Times New Roman" w:cs="Times New Roman"/>
          <w:sz w:val="27"/>
          <w:szCs w:val="27"/>
          <w14:ligatures w14:val="none"/>
        </w:rPr>
      </w:r>
      <w:r>
        <w:rPr>
          <w:rFonts w:ascii="Times New Roman" w:hAnsi="Times New Roman" w:cs="Times New Roman"/>
          <w:sz w:val="27"/>
          <w:szCs w:val="27"/>
          <w14:ligatures w14:val="none"/>
        </w:rPr>
      </w:r>
    </w:p>
    <w:p>
      <w:pPr>
        <w:pStyle w:val="620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Правило: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Железная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дорога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—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зона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повышенной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опасности.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Любое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пребывание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путях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категорически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запрещено.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Style w:val="620"/>
        <w:jc w:val="both"/>
        <w:rPr>
          <w:rFonts w:ascii="Times New Roman" w:hAnsi="Times New Roman" w:cs="Times New Roman"/>
          <w:b/>
          <w:bCs/>
          <w:color w:val="000000" w:themeColor="text1"/>
          <w:sz w:val="19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4. Будьте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особенно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внимательными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зимой!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Зимой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снежные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заносы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затрудняют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видимость машиниста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создают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дополнительные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риски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травмирования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пассажиров. Под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воздействием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снега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состав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теряет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тормозной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значительно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снимает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свою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маневренность.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Необходимо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учитывать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погодные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условия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соблюдать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максимальную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осторожность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около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путей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даже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отсутствии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движения.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Правило: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зимний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период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проявляйте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дополнительную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бдительность,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проходя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мимо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железнодорожной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инфраструктуры.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Style w:val="620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5. Запрещено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прикасаться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к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контактному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проводу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и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металлические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конструкциям!</w:t>
      </w:r>
      <w:r>
        <w:rPr>
          <w:rFonts w:ascii="Times New Roman" w:hAnsi="Times New Roman" w:cs="Times New Roman"/>
          <w:b/>
          <w:bCs/>
          <w:sz w:val="27"/>
          <w:szCs w:val="27"/>
          <w14:ligatures w14:val="none"/>
        </w:rPr>
      </w:r>
      <w:r>
        <w:rPr>
          <w:rFonts w:ascii="Times New Roman" w:hAnsi="Times New Roman" w:cs="Times New Roman"/>
          <w:b/>
          <w:bCs/>
          <w:sz w:val="27"/>
          <w:szCs w:val="27"/>
          <w14:ligatures w14:val="none"/>
        </w:rPr>
      </w:r>
    </w:p>
    <w:p>
      <w:pPr>
        <w:pStyle w:val="6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19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Контактный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провод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железнодорожными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путями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находится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высоким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напряжением.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Прикосновение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нему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или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любы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металлическим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элементам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конструкции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несет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смертельную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опасность.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Особенно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важно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помнить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этом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детям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подросткам.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b w:val="0"/>
          <w:bCs w:val="0"/>
          <w:color w:val="000000" w:themeColor="text1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Правило: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каких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обстоятельствах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нельзя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касаться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проводов,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опор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или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металлических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конструкций,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находящихся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рядом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железными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дорогами.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620"/>
        <w:jc w:val="both"/>
        <w:rPr>
          <w:rFonts w:ascii="Times New Roman" w:hAnsi="Times New Roman" w:cs="Times New Roman"/>
          <w:color w:val="000000" w:themeColor="text1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Помните,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безопасность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зависит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вас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самих.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Каждый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подходи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железной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дороге,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следуйте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простым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правилам,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берегите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себя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окружающих.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Ваш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пример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послужит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образцом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правильного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поведения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для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ваших детей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близких,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способствуя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формированию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культуры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безопасного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взаимодействия с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железнодорожным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транспортом.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  <w14:ligatures w14:val="none"/>
        </w:rPr>
      </w:r>
    </w:p>
    <w:sectPr>
      <w:footnotePr/>
      <w:endnotePr/>
      <w:type w:val="nextPage"/>
      <w:pgSz w:w="11906" w:h="16838" w:orient="portrait"/>
      <w:pgMar w:top="283" w:right="567" w:bottom="283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7" w:hanging="386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6" w:hanging="38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3" w:hanging="38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30" w:hanging="38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67" w:hanging="38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03" w:hanging="38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40" w:hanging="38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77" w:hanging="38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14" w:hanging="38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82" w:hanging="130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31" w:hanging="13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83" w:hanging="13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35" w:hanging="13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87" w:hanging="13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38" w:hanging="13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90" w:hanging="13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42" w:hanging="13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94" w:hanging="13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132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23" w:hanging="13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46" w:hanging="13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70" w:hanging="13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93" w:hanging="13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40" w:hanging="13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63" w:hanging="13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87" w:hanging="13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84" w:hanging="139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15" w:hanging="13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50" w:hanging="13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86" w:hanging="13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1" w:hanging="13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57" w:hanging="13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92" w:hanging="13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27" w:hanging="13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63" w:hanging="13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794" w:hanging="130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450" w:hanging="13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100" w:hanging="13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751" w:hanging="13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01" w:hanging="13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52" w:hanging="13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702" w:hanging="13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353" w:hanging="13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003" w:hanging="13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46" w:customStyle="1">
    <w:name w:val="Body Text"/>
    <w:basedOn w:val="630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9"/>
      <w:szCs w:val="19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2025-09-11T08:14:52Z</dcterms:modified>
</cp:coreProperties>
</file>