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spacing w:before="0" w:after="0" w:line="240" w:lineRule="auto"/>
        <w:ind w:left="0" w:firstLine="0"/>
        <w:jc w:val="both"/>
        <w:outlineLvl w:val="0"/>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ПРАВИТЕЛЬСТВО РОССИЙСКОЙ ФЕДЕРАЦИИ</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ПОСТАНОВЛЕНИЕ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31 декабря 2020 г. N 2428</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 ПОРЯДКЕ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ФОРМИРОВАНИЯ ПЛАНА ПРОВЕДЕНИЯ ПЛАНОВЫХ КОНТРОЛЬНЫХ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(НАДЗОРНЫХ) МЕРОПРИЯТИЙ НА ОЧЕРЕДНОЙ КАЛЕНДАРНЫЙ ГОД,</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ЕГО СОГЛАСОВАНИЯ С ОРГАНАМИ ПРОКУРАТУРЫ, ВКЛЮЧЕНИЯ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НЕГО И ИСКЛЮЧЕНИЯ ИЗ НЕГО КОНТРОЛЬНЫХ (НАДЗОРНЫХ)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В ТЕЧЕНИЕ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08.09.2021 </w:t>
            </w:r>
            <w:hyperlink r:id="rId9">
              <w:r>
                <w:rPr>
                  <w:rFonts w:ascii="Arial" w:hAnsi="Arial" w:eastAsia="Arial" w:cs="Arial"/>
                  <w:b w:val="0"/>
                  <w:i w:val="0"/>
                  <w:strike w:val="0"/>
                  <w:color w:val="0000ff"/>
                  <w:sz w:val="16"/>
                </w:rPr>
                <w:t xml:space="preserve">N 1520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14.09.2021 </w:t>
            </w:r>
            <w:hyperlink r:id="rId10">
              <w:r>
                <w:rPr>
                  <w:rFonts w:ascii="Arial" w:hAnsi="Arial" w:eastAsia="Arial" w:cs="Arial"/>
                  <w:b w:val="0"/>
                  <w:i w:val="0"/>
                  <w:strike w:val="0"/>
                  <w:color w:val="0000ff"/>
                  <w:sz w:val="16"/>
                </w:rPr>
                <w:t xml:space="preserve">N 1559</w:t>
              </w:r>
            </w:hyperlink>
            <w:r>
              <w:rPr>
                <w:rFonts w:ascii="Arial" w:hAnsi="Arial" w:eastAsia="Arial" w:cs="Arial"/>
                <w:b w:val="0"/>
                <w:i w:val="0"/>
                <w:strike w:val="0"/>
                <w:color w:val="392c69"/>
                <w:sz w:val="16"/>
              </w:rPr>
              <w:t xml:space="preserve">, от 16.08.2023 </w:t>
            </w:r>
            <w:hyperlink r:id="rId11">
              <w:r>
                <w:rPr>
                  <w:rFonts w:ascii="Arial" w:hAnsi="Arial" w:eastAsia="Arial" w:cs="Arial"/>
                  <w:b w:val="0"/>
                  <w:i w:val="0"/>
                  <w:strike w:val="0"/>
                  <w:color w:val="0000ff"/>
                  <w:sz w:val="16"/>
                </w:rPr>
                <w:t xml:space="preserve">N 1341</w:t>
              </w:r>
            </w:hyperlink>
            <w:r>
              <w:rPr>
                <w:rFonts w:ascii="Arial" w:hAnsi="Arial" w:eastAsia="Arial" w:cs="Arial"/>
                <w:b w:val="0"/>
                <w:i w:val="0"/>
                <w:strike w:val="0"/>
                <w:color w:val="392c69"/>
                <w:sz w:val="16"/>
              </w:rPr>
              <w:t xml:space="preserve">, от 23.05.2024 </w:t>
            </w:r>
            <w:hyperlink r:id="rId12">
              <w:r>
                <w:rPr>
                  <w:rFonts w:ascii="Arial" w:hAnsi="Arial" w:eastAsia="Arial" w:cs="Arial"/>
                  <w:b w:val="0"/>
                  <w:i w:val="0"/>
                  <w:strike w:val="0"/>
                  <w:color w:val="0000ff"/>
                  <w:sz w:val="16"/>
                </w:rPr>
                <w:t xml:space="preserve">N 637</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w:t>
      </w:r>
      <w:hyperlink r:id="rId13">
        <w:r>
          <w:rPr>
            <w:rFonts w:ascii="Arial" w:hAnsi="Arial" w:eastAsia="Arial" w:cs="Arial"/>
            <w:b w:val="0"/>
            <w:i w:val="0"/>
            <w:strike w:val="0"/>
            <w:color w:val="0000ff"/>
            <w:sz w:val="16"/>
          </w:rPr>
          <w:t xml:space="preserve">частью 3 статьи 61</w:t>
        </w:r>
      </w:hyperlink>
      <w:r>
        <w:rPr>
          <w:rFonts w:ascii="Arial" w:hAnsi="Arial" w:eastAsia="Arial" w:cs="Arial"/>
          <w:b w:val="0"/>
          <w:i w:val="0"/>
          <w:strike w:val="0"/>
          <w:sz w:val="16"/>
        </w:rP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Утвердить прилагаемые </w:t>
      </w:r>
      <w:hyperlink>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утвержденными настоящим постановлением, с учетом </w:t>
      </w:r>
      <w:hyperlink r:id="rId14">
        <w:r>
          <w:rPr>
            <w:rFonts w:ascii="Arial" w:hAnsi="Arial" w:eastAsia="Arial" w:cs="Arial"/>
            <w:b w:val="0"/>
            <w:i w:val="0"/>
            <w:strike w:val="0"/>
            <w:color w:val="0000ff"/>
            <w:sz w:val="16"/>
          </w:rPr>
          <w:t xml:space="preserve">особенностей</w:t>
        </w:r>
      </w:hyperlink>
      <w:r>
        <w:rPr>
          <w:rFonts w:ascii="Arial" w:hAnsi="Arial" w:eastAsia="Arial" w:cs="Arial"/>
          <w:b w:val="0"/>
          <w:i w:val="0"/>
          <w:strike w:val="0"/>
          <w:sz w:val="16"/>
        </w:rP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08.09.2021 N 1520)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 введен </w:t>
      </w:r>
      <w:hyperlink r:id="rId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14.09.2021 N 1559)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Настоящее постановление вступает в силу с 1 июля 2021 г.</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Председатель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М.МИШУСТИН</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Утверждены</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31 декабря 2020 г. N 2428</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 w:name="Par38"/>
      <w:bookmarkEnd w:id="1"/>
      <w:r>
        <w:rPr>
          <w:rFonts w:ascii="Arial" w:hAnsi="Arial" w:eastAsia="Arial" w:cs="Arial"/>
          <w:b/>
          <w:i w:val="0"/>
          <w:strike w:val="0"/>
          <w:sz w:val="16"/>
        </w:rPr>
        <w:t xml:space="preserve">ПРАВИЛА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ФОРМИРОВАНИЯ ПЛАНА ПРОВЕДЕНИЯ ПЛАНОВЫХ КОНТРОЛЬНЫХ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(НАДЗОРНЫХ) МЕРОПРИЯТИЙ НА ОЧЕРЕДНОЙ КАЛЕНДАРНЫЙ ГОД,</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ЕГО СОГЛАСОВАНИЯ С ОРГАНАМИ ПРОКУРАТУРЫ, ВКЛЮЧЕНИЯ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НЕГО И ИСКЛЮЧЕНИЯ ИЗ НЕГО КОНТРОЛЬНЫХ (НАДЗОРНЫХ)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В ТЕЧЕНИЕ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16.08.2023 </w:t>
            </w:r>
            <w:hyperlink r:id="rId19">
              <w:r>
                <w:rPr>
                  <w:rFonts w:ascii="Arial" w:hAnsi="Arial" w:eastAsia="Arial" w:cs="Arial"/>
                  <w:b w:val="0"/>
                  <w:i w:val="0"/>
                  <w:strike w:val="0"/>
                  <w:color w:val="0000ff"/>
                  <w:sz w:val="16"/>
                </w:rPr>
                <w:t xml:space="preserve">N 1341</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23.05.2024 </w:t>
            </w:r>
            <w:hyperlink r:id="rId20">
              <w:r>
                <w:rPr>
                  <w:rFonts w:ascii="Arial" w:hAnsi="Arial" w:eastAsia="Arial" w:cs="Arial"/>
                  <w:b w:val="0"/>
                  <w:i w:val="0"/>
                  <w:strike w:val="0"/>
                  <w:color w:val="0000ff"/>
                  <w:sz w:val="16"/>
                </w:rPr>
                <w:t xml:space="preserve">N 637</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21">
        <w:r>
          <w:rPr>
            <w:rFonts w:ascii="Arial" w:hAnsi="Arial" w:eastAsia="Arial" w:cs="Arial"/>
            <w:b w:val="0"/>
            <w:i w:val="0"/>
            <w:strike w:val="0"/>
            <w:color w:val="0000ff"/>
            <w:sz w:val="16"/>
          </w:rPr>
          <w:t xml:space="preserve">частью 4 статьи 20</w:t>
        </w:r>
      </w:hyperlink>
      <w:r>
        <w:rPr>
          <w:rFonts w:ascii="Arial" w:hAnsi="Arial" w:eastAsia="Arial" w:cs="Arial"/>
          <w:b w:val="0"/>
          <w:i w:val="0"/>
          <w:strike w:val="0"/>
          <w:sz w:val="16"/>
        </w:rPr>
        <w:t xml:space="preserve"> Федерального закона "О государственном контроле (надзоре) и муниципальном контроле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16.08.2023 N 1341)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 контроля.</w:t>
      </w:r>
    </w:p>
    <w:p>
      <w:pPr>
        <w:spacing w:before="160" w:after="0" w:line="240" w:lineRule="auto"/>
        <w:ind w:left="0" w:firstLine="540"/>
        <w:jc w:val="both"/>
        <w:rPr>
          <w:rFonts w:ascii="Arial" w:hAnsi="Arial" w:eastAsia="Arial" w:cs="Arial"/>
          <w:b w:val="0"/>
          <w:i w:val="0"/>
          <w:strike w:val="0"/>
          <w:sz w:val="16"/>
        </w:rPr>
      </w:pPr>
      <w:bookmarkStart w:id="2" w:name="Par58"/>
      <w:bookmarkEnd w:id="2"/>
      <w:r>
        <w:rPr>
          <w:rFonts w:ascii="Arial" w:hAnsi="Arial" w:eastAsia="Arial" w:cs="Arial"/>
          <w:b w:val="0"/>
          <w:i w:val="0"/>
          <w:strike w:val="0"/>
          <w:sz w:val="16"/>
        </w:rPr>
        <w:t xml:space="preserve">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r>
          <w:rPr>
            <w:rFonts w:ascii="Arial" w:hAnsi="Arial" w:eastAsia="Arial" w:cs="Arial"/>
            <w:b w:val="0"/>
            <w:i w:val="0"/>
            <w:strike w:val="0"/>
            <w:color w:val="0000ff"/>
            <w:sz w:val="16"/>
          </w:rPr>
          <w:t xml:space="preserve">подпунктах "б"</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"в"</w:t>
        </w:r>
      </w:hyperlink>
      <w:r>
        <w:rPr>
          <w:rFonts w:ascii="Arial" w:hAnsi="Arial" w:eastAsia="Arial" w:cs="Arial"/>
          <w:b w:val="0"/>
          <w:i w:val="0"/>
          <w:strike w:val="0"/>
          <w:sz w:val="16"/>
        </w:rPr>
        <w:t xml:space="preserve"> настоящего пункта;</w:t>
      </w:r>
    </w:p>
    <w:p>
      <w:pPr>
        <w:spacing w:before="160" w:after="0" w:line="240" w:lineRule="auto"/>
        <w:ind w:left="0" w:firstLine="540"/>
        <w:jc w:val="both"/>
        <w:rPr>
          <w:rFonts w:ascii="Arial" w:hAnsi="Arial" w:eastAsia="Arial" w:cs="Arial"/>
          <w:b w:val="0"/>
          <w:i w:val="0"/>
          <w:strike w:val="0"/>
          <w:sz w:val="16"/>
        </w:rPr>
      </w:pPr>
      <w:bookmarkStart w:id="3" w:name="Par60"/>
      <w:bookmarkEnd w:id="3"/>
      <w:r>
        <w:rPr>
          <w:rFonts w:ascii="Arial" w:hAnsi="Arial" w:eastAsia="Arial" w:cs="Arial"/>
          <w:b w:val="0"/>
          <w:i w:val="0"/>
          <w:strike w:val="0"/>
          <w:sz w:val="16"/>
        </w:rPr>
        <w:t xml:space="preserve">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pPr>
        <w:spacing w:before="160" w:after="0" w:line="240" w:lineRule="auto"/>
        <w:ind w:left="0" w:firstLine="540"/>
        <w:jc w:val="both"/>
        <w:rPr>
          <w:rFonts w:ascii="Arial" w:hAnsi="Arial" w:eastAsia="Arial" w:cs="Arial"/>
          <w:b w:val="0"/>
          <w:i w:val="0"/>
          <w:strike w:val="0"/>
          <w:sz w:val="16"/>
        </w:rPr>
      </w:pPr>
      <w:bookmarkStart w:id="4" w:name="Par61"/>
      <w:bookmarkEnd w:id="4"/>
      <w:r>
        <w:rPr>
          <w:rFonts w:ascii="Arial" w:hAnsi="Arial" w:eastAsia="Arial" w:cs="Arial"/>
          <w:b w:val="0"/>
          <w:i w:val="0"/>
          <w:strike w:val="0"/>
          <w:sz w:val="16"/>
        </w:rPr>
        <w:t xml:space="preserve">в) иного события, установленного федеральным законом о виде контроля, положением о виде контроля, которое ведет к возникновению объекта контроля.</w:t>
      </w:r>
    </w:p>
    <w:p>
      <w:pPr>
        <w:spacing w:before="160" w:after="0" w:line="240" w:lineRule="auto"/>
        <w:ind w:left="0" w:firstLine="540"/>
        <w:jc w:val="both"/>
        <w:rPr>
          <w:rFonts w:ascii="Arial" w:hAnsi="Arial" w:eastAsia="Arial" w:cs="Arial"/>
          <w:b w:val="0"/>
          <w:i w:val="0"/>
          <w:strike w:val="0"/>
          <w:sz w:val="16"/>
        </w:rPr>
      </w:pPr>
      <w:bookmarkStart w:id="5" w:name="Par62"/>
      <w:bookmarkEnd w:id="5"/>
      <w:r>
        <w:rPr>
          <w:rFonts w:ascii="Arial" w:hAnsi="Arial" w:eastAsia="Arial" w:cs="Arial"/>
          <w:b w:val="0"/>
          <w:i w:val="0"/>
          <w:strike w:val="0"/>
          <w:sz w:val="16"/>
        </w:rPr>
        <w:t xml:space="preserve">8. В проект ежегодного плана включаются сведения о плановых контрольных (надзорных) мероприятиях, в том числе: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наименование контрольного (надзорного) органа;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вид государственного контроля (надзора), вид муниципального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виды контрольных (надзорных) мероприятий, предмет контрольных (надзорных) мероприятий, сроки их проведения;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контрольные (надзорные) мероприятия, с которыми контрольные (надзорные) мероприятия проводятся совместно (при наличии);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основания включения контрольного (надзорного) мероприятия в ежегодный план, предусмотренные </w:t>
      </w:r>
      <w:hyperlink>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настоящих Правил;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pPr>
        <w:spacing w:before="160" w:after="0" w:line="240" w:lineRule="auto"/>
        <w:ind w:left="0" w:firstLine="540"/>
        <w:jc w:val="both"/>
        <w:rPr>
          <w:rFonts w:ascii="Arial" w:hAnsi="Arial" w:eastAsia="Arial" w:cs="Arial"/>
          <w:b w:val="0"/>
          <w:i w:val="0"/>
          <w:strike w:val="0"/>
          <w:sz w:val="16"/>
        </w:rPr>
      </w:pPr>
      <w:bookmarkStart w:id="6" w:name="Par70"/>
      <w:bookmarkEnd w:id="6"/>
      <w:r>
        <w:rPr>
          <w:rFonts w:ascii="Arial" w:hAnsi="Arial" w:eastAsia="Arial" w:cs="Arial"/>
          <w:b w:val="0"/>
          <w:i w:val="0"/>
          <w:strike w:val="0"/>
          <w:sz w:val="16"/>
        </w:rPr>
        <w:t xml:space="preserve">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Органы прокуратуры осуществляют рассмотрение проекта ежегодного плана в порядке, предусмотренном </w:t>
      </w:r>
      <w:hyperlink r:id="rId23">
        <w:r>
          <w:rPr>
            <w:rFonts w:ascii="Arial" w:hAnsi="Arial" w:eastAsia="Arial" w:cs="Arial"/>
            <w:b w:val="0"/>
            <w:i w:val="0"/>
            <w:strike w:val="0"/>
            <w:color w:val="0000ff"/>
            <w:sz w:val="16"/>
          </w:rPr>
          <w:t xml:space="preserve">частью 5 статьи 61</w:t>
        </w:r>
      </w:hyperlink>
      <w:r>
        <w:rPr>
          <w:rFonts w:ascii="Arial" w:hAnsi="Arial" w:eastAsia="Arial" w:cs="Arial"/>
          <w:b w:val="0"/>
          <w:i w:val="0"/>
          <w:strike w:val="0"/>
          <w:sz w:val="16"/>
        </w:rPr>
        <w:t xml:space="preserve"> Федерального закона "О государственном контроле (надзоре) и муниципальном контроле в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12(1) введен </w:t>
      </w:r>
      <w:hyperlink r:id="rId2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16.08.2023 N 1341)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исключение контрольного (надзорного) мероприятия из ежегодного плана: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прекращением действия лицензии или ее аннулированием - для контрольных (надзорных) мероприятий, запланированных в отношении лицензиатов;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исключением объекта контроля из перечня объектов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наступлением обстоятельств непреодолимой силы;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изменение содержащихся в ежегодном плане сведений о контрольном (надзорном) мероприятии, предусмотренных </w:t>
      </w:r>
      <w:hyperlink>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настоящих Правил: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реорганизацией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изменением наименования организации, а также с изменением фамилии, имени и (или) отчества (при наличии) гражданина;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16.08.2023 N 1341)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необходимостью изменения срока проведения контрольного (надзорного) мероприятия по причине неработоспособности единого реестра контрольных (надзорных) мероприятий, препятствующей внесению сведений напрямую через личный кабинет контрольного (надзорного) органа в едином реестре контрольных (надзорных) мероприятий;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23.05.2024 N 637)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связи с невозможностью проведения контрольного (надзорного) мероприятия в случае наступления обстоятельств непреодолимой силы (стихийное бедствие, погодные условия, эпидемия и прочие) и иных обстоятельств, не зависящих от контрольного (надзорного) органа;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23.05.2024 N 637)</w:t>
      </w:r>
    </w:p>
    <w:p>
      <w:pPr>
        <w:spacing w:before="160" w:after="0" w:line="240" w:lineRule="auto"/>
        <w:ind w:left="0" w:firstLine="540"/>
        <w:jc w:val="both"/>
        <w:rPr>
          <w:rFonts w:ascii="Arial" w:hAnsi="Arial" w:eastAsia="Arial" w:cs="Arial"/>
          <w:b w:val="0"/>
          <w:i w:val="0"/>
          <w:strike w:val="0"/>
          <w:sz w:val="16"/>
        </w:rPr>
      </w:pPr>
      <w:bookmarkStart w:id="7" w:name="Par98"/>
      <w:bookmarkEnd w:id="7"/>
      <w:r>
        <w:rPr>
          <w:rFonts w:ascii="Arial" w:hAnsi="Arial" w:eastAsia="Arial" w:cs="Arial"/>
          <w:b w:val="0"/>
          <w:i w:val="0"/>
          <w:strike w:val="0"/>
          <w:sz w:val="16"/>
        </w:rPr>
        <w:t xml:space="preserve">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23.05.2024 N 637)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Включение в ежегодный план контрольного (надзорного) мероприятия в случае, предусмотренном </w:t>
      </w:r>
      <w:hyperlink>
        <w:r>
          <w:rPr>
            <w:rFonts w:ascii="Arial" w:hAnsi="Arial" w:eastAsia="Arial" w:cs="Arial"/>
            <w:b w:val="0"/>
            <w:i w:val="0"/>
            <w:strike w:val="0"/>
            <w:color w:val="0000ff"/>
            <w:sz w:val="16"/>
          </w:rPr>
          <w:t xml:space="preserve">подпунктом "в" пункта 14</w:t>
        </w:r>
      </w:hyperlink>
      <w:r>
        <w:rPr>
          <w:rFonts w:ascii="Arial" w:hAnsi="Arial" w:eastAsia="Arial" w:cs="Arial"/>
          <w:b w:val="0"/>
          <w:i w:val="0"/>
          <w:strike w:val="0"/>
          <w:sz w:val="16"/>
        </w:rPr>
        <w:t xml:space="preserve"> настоящих Правил, осуществляется в следующем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r>
          <w:rPr>
            <w:rFonts w:ascii="Arial" w:hAnsi="Arial" w:eastAsia="Arial" w:cs="Arial"/>
            <w:b w:val="0"/>
            <w:i w:val="0"/>
            <w:strike w:val="0"/>
            <w:color w:val="0000ff"/>
            <w:sz w:val="16"/>
          </w:rPr>
          <w:t xml:space="preserve">пункте 9</w:t>
        </w:r>
      </w:hyperlink>
      <w:r>
        <w:rPr>
          <w:rFonts w:ascii="Arial" w:hAnsi="Arial" w:eastAsia="Arial" w:cs="Arial"/>
          <w:b w:val="0"/>
          <w:i w:val="0"/>
          <w:strike w:val="0"/>
          <w:sz w:val="16"/>
        </w:rPr>
        <w:t xml:space="preserve"> настоящих Правил;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18 введен </w:t>
      </w:r>
      <w:hyperlink r:id="rId2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16.08.2023 N 1341)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В случае необходимости включения контрольного (надзорного) мероприятия в ежегодный план в соответствии с </w:t>
      </w:r>
      <w:hyperlink>
        <w:r>
          <w:rPr>
            <w:rFonts w:ascii="Arial" w:hAnsi="Arial" w:eastAsia="Arial" w:cs="Arial"/>
            <w:b w:val="0"/>
            <w:i w:val="0"/>
            <w:strike w:val="0"/>
            <w:color w:val="0000ff"/>
            <w:sz w:val="16"/>
          </w:rPr>
          <w:t xml:space="preserve">подпунктом "в" пункта 14</w:t>
        </w:r>
      </w:hyperlink>
      <w:r>
        <w:rPr>
          <w:rFonts w:ascii="Arial" w:hAnsi="Arial" w:eastAsia="Arial" w:cs="Arial"/>
          <w:b w:val="0"/>
          <w:i w:val="0"/>
          <w:strike w:val="0"/>
          <w:sz w:val="16"/>
        </w:rP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19 введен </w:t>
      </w:r>
      <w:hyperlink r:id="rId3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16.08.2023 N 1341)</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both"/>
        <w:rPr>
          <w:rFonts w:ascii="Arial" w:hAnsi="Arial" w:eastAsia="Arial" w:cs="Arial"/>
          <w:b w:val="0"/>
          <w:i w:val="0"/>
          <w:strike w:val="0"/>
          <w:sz w:val="16"/>
        </w:rPr>
      </w:pPr>
    </w:p>
    <w:p>
      <w:pPr>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eastAsia="Arial" w:cs="Arial"/>
      <w:b w:val="0"/>
      <w:i w:val="0"/>
      <w:strike w:val="0"/>
      <w:sz w:val="16"/>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16"/>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Courier New" w:hAnsi="Courier New" w:eastAsia="Courier New" w:cs="Courier New"/>
      <w:b w:val="0"/>
      <w:i w:val="0"/>
      <w:strike w:val="0"/>
      <w:sz w:val="16"/>
    </w:rPr>
  </w:style>
  <w:style w:type="paragraph" w:styleId="Style_5">
    <w:name w:val="       ConsPlusTitlePage"/>
    <w:pPr>
      <w:spacing w:before="0" w:after="0" w:line="240" w:lineRule="auto"/>
      <w:jc w:val="left"/>
    </w:pPr>
    <w:rPr>
      <w:rFonts w:ascii="Tahoma" w:hAnsi="Tahoma" w:eastAsia="Tahoma" w:cs="Tahoma"/>
      <w:b w:val="0"/>
      <w:i w:val="0"/>
      <w:strike w:val="0"/>
      <w:sz w:val="16"/>
    </w:rPr>
  </w:style>
  <w:style w:type="paragraph" w:styleId="Style_6">
    <w:name w:val="       ConsPlusJurTerm"/>
    <w:pPr>
      <w:spacing w:before="0" w:after="0" w:line="240" w:lineRule="auto"/>
      <w:jc w:val="left"/>
    </w:pPr>
    <w:rPr>
      <w:rFonts w:ascii="Tahoma" w:hAnsi="Tahoma" w:eastAsia="Tahoma" w:cs="Tahoma"/>
      <w:b w:val="0"/>
      <w:i w:val="0"/>
      <w:strike w:val="0"/>
      <w:sz w:val="26"/>
    </w:rPr>
  </w:style>
  <w:style w:type="paragraph" w:styleId="Style_7">
    <w:name w:val="       ConsPlusTextList"/>
    <w:pPr>
      <w:spacing w:before="0" w:after="0" w:line="240" w:lineRule="auto"/>
      <w:jc w:val="left"/>
    </w:pPr>
    <w:rPr>
      <w:rFonts w:ascii="Arial" w:hAnsi="Arial" w:eastAsia="Arial" w:cs="Arial"/>
      <w:b w:val="0"/>
      <w:i w:val="0"/>
      <w:strike w:val="0"/>
      <w:sz w:val="20"/>
    </w:rPr>
  </w:style>
  <w:style w:type="paragraph" w:styleId="Style_8">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395031&amp;dst=100021" TargetMode="External"/><Relationship Id="rId10" Type="http://schemas.openxmlformats.org/officeDocument/2006/relationships/hyperlink" Target="https://login.consultant.ru/link/?req=doc&amp;base=LAW&amp;n=416589&amp;dst=100269" TargetMode="External"/><Relationship Id="rId11" Type="http://schemas.openxmlformats.org/officeDocument/2006/relationships/hyperlink" Target="https://login.consultant.ru/link/?req=doc&amp;base=LAW&amp;n=455065&amp;dst=100077" TargetMode="External"/><Relationship Id="rId12" Type="http://schemas.openxmlformats.org/officeDocument/2006/relationships/hyperlink" Target="https://login.consultant.ru/link/?req=doc&amp;base=LAW&amp;n=495204&amp;dst=100015" TargetMode="External"/><Relationship Id="rId13" Type="http://schemas.openxmlformats.org/officeDocument/2006/relationships/hyperlink" Target="https://login.consultant.ru/link/?req=doc&amp;base=LAW&amp;n=495001&amp;dst=100667" TargetMode="External"/><Relationship Id="rId14" Type="http://schemas.openxmlformats.org/officeDocument/2006/relationships/hyperlink" Target="https://login.consultant.ru/link/?req=doc&amp;base=LAW&amp;n=395031&amp;dst=100007" TargetMode="External"/><Relationship Id="rId15" Type="http://schemas.openxmlformats.org/officeDocument/2006/relationships/hyperlink" Target="https://login.consultant.ru/link/?req=doc&amp;base=LAW&amp;n=395031&amp;dst=100021" TargetMode="External"/><Relationship Id="rId16"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82887" TargetMode="External"/><Relationship Id="rId18" Type="http://schemas.openxmlformats.org/officeDocument/2006/relationships/hyperlink" Target="https://login.consultant.ru/link/?req=doc&amp;base=LAW&amp;n=416589&amp;dst=100269" TargetMode="External"/><Relationship Id="rId19" Type="http://schemas.openxmlformats.org/officeDocument/2006/relationships/hyperlink" Target="https://login.consultant.ru/link/?req=doc&amp;base=LAW&amp;n=455065&amp;dst=100077" TargetMode="External"/><Relationship Id="rId20" Type="http://schemas.openxmlformats.org/officeDocument/2006/relationships/hyperlink" Target="https://login.consultant.ru/link/?req=doc&amp;base=LAW&amp;n=495204&amp;dst=100015" TargetMode="External"/><Relationship Id="rId21" Type="http://schemas.openxmlformats.org/officeDocument/2006/relationships/hyperlink" Target="https://login.consultant.ru/link/?req=doc&amp;base=LAW&amp;n=495001&amp;dst=100223" TargetMode="External"/><Relationship Id="rId22" Type="http://schemas.openxmlformats.org/officeDocument/2006/relationships/hyperlink" Target="https://login.consultant.ru/link/?req=doc&amp;base=LAW&amp;n=455065&amp;dst=100078" TargetMode="External"/><Relationship Id="rId23" Type="http://schemas.openxmlformats.org/officeDocument/2006/relationships/hyperlink" Target="https://login.consultant.ru/link/?req=doc&amp;base=LAW&amp;n=495001&amp;dst=100669" TargetMode="External"/><Relationship Id="rId24" Type="http://schemas.openxmlformats.org/officeDocument/2006/relationships/hyperlink" Target="https://login.consultant.ru/link/?req=doc&amp;base=LAW&amp;n=455065&amp;dst=100079" TargetMode="External"/><Relationship Id="rId25" Type="http://schemas.openxmlformats.org/officeDocument/2006/relationships/hyperlink" Target="https://login.consultant.ru/link/?req=doc&amp;base=LAW&amp;n=455065&amp;dst=100081" TargetMode="External"/><Relationship Id="rId26" Type="http://schemas.openxmlformats.org/officeDocument/2006/relationships/hyperlink" Target="https://login.consultant.ru/link/?req=doc&amp;base=LAW&amp;n=495204&amp;dst=100016" TargetMode="External"/><Relationship Id="rId27" Type="http://schemas.openxmlformats.org/officeDocument/2006/relationships/hyperlink" Target="https://login.consultant.ru/link/?req=doc&amp;base=LAW&amp;n=495204&amp;dst=100018" TargetMode="External"/><Relationship Id="rId28" Type="http://schemas.openxmlformats.org/officeDocument/2006/relationships/hyperlink" Target="https://login.consultant.ru/link/?req=doc&amp;base=LAW&amp;n=495204&amp;dst=100019" TargetMode="External"/><Relationship Id="rId29" Type="http://schemas.openxmlformats.org/officeDocument/2006/relationships/hyperlink" Target="https://login.consultant.ru/link/?req=doc&amp;base=LAW&amp;n=455065&amp;dst=100082" TargetMode="External"/><Relationship Id="rId30" Type="http://schemas.openxmlformats.org/officeDocument/2006/relationships/hyperlink" Target="https://login.consultant.ru/link/?req=doc&amp;base=LAW&amp;n=455065&amp;dst=10008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2428(ред. от 23.05.2024)&amp;quot;О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года&amp;quot;(вместе с &amp;quot;Правилами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dc:title>
  <dc:creator/>
  <cp:lastModifiedBy/>
</cp:coreProperties>
</file>