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>
      <w:pPr>
        <w:pStyle w:val="Normal"/>
        <w:tabs>
          <w:tab w:val="clear" w:pos="708"/>
          <w:tab w:val="left" w:pos="2926" w:leader="none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о работе администрации района по выполнению</w:t>
      </w:r>
    </w:p>
    <w:p>
      <w:pPr>
        <w:pStyle w:val="Normal"/>
        <w:tabs>
          <w:tab w:val="clear" w:pos="708"/>
          <w:tab w:val="left" w:pos="2926" w:leader="none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указов и поручений Президента Российской Федерации</w:t>
      </w:r>
    </w:p>
    <w:p>
      <w:pPr>
        <w:pStyle w:val="Normal"/>
        <w:tabs>
          <w:tab w:val="clear" w:pos="708"/>
          <w:tab w:val="left" w:pos="2926" w:leader="none"/>
        </w:tabs>
        <w:ind w:right="98"/>
        <w:jc w:val="left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2025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администрацию района указы и поручения Президента РФ не поступали.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исполнении в 2025 году находится 4 указа и 2 поручения  Президента Российской Федерации.</w:t>
      </w:r>
    </w:p>
    <w:p>
      <w:pPr>
        <w:pStyle w:val="Normal"/>
        <w:ind w:firstLine="709"/>
        <w:jc w:val="both"/>
        <w:rPr>
          <w:b/>
          <w:bCs/>
          <w:sz w:val="27"/>
          <w:szCs w:val="27"/>
          <w:highlight w:val="none"/>
          <w:shd w:fill="FFFFFF" w:val="clear"/>
        </w:rPr>
      </w:pPr>
      <w:r>
        <w:rPr>
          <w:b/>
          <w:bCs/>
          <w:sz w:val="27"/>
          <w:szCs w:val="27"/>
          <w:shd w:fill="FFFFFF" w:val="clear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/>
          <w:bCs/>
          <w:sz w:val="27"/>
          <w:szCs w:val="27"/>
          <w:shd w:fill="FFFFFF" w:val="clear"/>
          <w:lang w:eastAsia="ru-RU"/>
        </w:rPr>
        <w:t>Поручение от 31.12.2020 №Пр-2240</w:t>
      </w:r>
      <w:r>
        <w:rPr>
          <w:rFonts w:eastAsia="Calibri" w:cs="Times New Roman"/>
          <w:b/>
          <w:bCs/>
          <w:sz w:val="24"/>
          <w:szCs w:val="24"/>
          <w:shd w:fill="FFFFFF" w:val="clear"/>
          <w:lang w:val="ru-RU" w:eastAsia="en-US" w:bidi="ar-SA"/>
        </w:rPr>
        <w:t xml:space="preserve"> «</w:t>
      </w:r>
      <w:r>
        <w:rPr>
          <w:b/>
          <w:bCs/>
          <w:sz w:val="27"/>
          <w:szCs w:val="27"/>
          <w:shd w:fill="FFFFFF" w:val="clear"/>
        </w:rPr>
        <w:t>П.2. Принять меры по повышению уровня информированности граждан о полагающихся им социальных выплатах».</w:t>
      </w:r>
    </w:p>
    <w:p>
      <w:pPr>
        <w:pStyle w:val="Normal"/>
        <w:ind w:firstLine="709"/>
        <w:jc w:val="both"/>
        <w:rPr/>
      </w:pPr>
      <w:r>
        <w:rPr>
          <w:sz w:val="27"/>
          <w:szCs w:val="27"/>
          <w:shd w:fill="FFFFFF" w:val="clear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 xml:space="preserve">а странице района официального Интернет-сайта города Барнаула, в социальных сетях «Вконтакте», «Одноклассники», в аккаунте района в мессенджере telegram размещена информация об Указе Президента Российской Федерации от 23.01.2024 №63 «О мерах социальной поддержки многодетных семей». 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/>
          <w:bCs/>
          <w:sz w:val="27"/>
          <w:szCs w:val="27"/>
          <w:shd w:fill="FFFFFF" w:val="clear"/>
          <w:lang w:eastAsia="ru-RU"/>
        </w:rPr>
        <w:t xml:space="preserve">Поручение от 30.03.2024 № Пр-616 «П. 22. </w:t>
      </w:r>
      <w:r>
        <w:rPr>
          <w:b/>
          <w:bCs/>
          <w:sz w:val="27"/>
          <w:szCs w:val="27"/>
          <w:shd w:fill="FFFFFF" w:val="clear"/>
        </w:rPr>
        <w:t>Правительству Российской Федерации совместно с исполнительными органами субъектов Российской Федерации, публичным акционерным обществом «Газпром» и при участии иных газоснабжающих организаций обеспечить без привлечения средств граждан выполнение мероприятий по подключению к газораспределительным сетям домовладений, расположенных на землях садоводческих некоммерческих товариществ в газифицированных населенных пунктах, предусмотрев выполнение этих мероприятий до границ земельных участков, принадлежащих заявителям (при наличии соответствующей заявки о подключении), и определив критерии и условия такого подключения (технологического присоединения).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территории района отсутствуют садоводческие некоммерческие товарищества.</w:t>
      </w:r>
    </w:p>
    <w:p>
      <w:pPr>
        <w:pStyle w:val="Normal"/>
        <w:ind w:firstLine="709"/>
        <w:jc w:val="both"/>
        <w:rPr>
          <w:sz w:val="27"/>
          <w:szCs w:val="27"/>
          <w:highlight w:val="none"/>
          <w:shd w:fill="FFFFFF" w:val="clear"/>
        </w:rPr>
      </w:pPr>
      <w:r>
        <w:rPr>
          <w:sz w:val="27"/>
          <w:szCs w:val="27"/>
          <w:shd w:fill="FFFFFF" w:val="clear"/>
        </w:rPr>
        <w:tab/>
      </w:r>
    </w:p>
    <w:p>
      <w:pPr>
        <w:pStyle w:val="BodyText"/>
        <w:rPr/>
      </w:pPr>
      <w:r>
        <w:rPr/>
        <w:tab/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У</w:t>
      </w:r>
      <w:r>
        <w:rPr>
          <w:b/>
          <w:bCs/>
        </w:rPr>
        <w:t xml:space="preserve">каз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Сведения об избирателях в администрацию района предоставляют отдел по вопросам миграции отдела полиции по Железнодорожному району УМВД России по г.Барнаулу, отдел военного комиссариата Алтайского края по Железнодорожному, Октябрьскому и Центральному районам, Железнодорожный районный суд. Специалистом администрации района осуществляется обработка данных, содержащихся в Федеральной государственной информационной системе ведения Единого государственного реестра записей актов гражданского состояния.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Полученные сведения на основании акта передаются консультанту Избирательной комиссии Алтайского края в Железнодорожном районе для ввода в систему ГАС «Выборы».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Два раза в год информация о численности избирателей направляется в рабочую группу по учету избирателей города Барнаула.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Численность избирателей по состоянию на 13.01.2025  уменьшилась по сравнению с 01.01.2024 на 626 человек (0,9%) и составила                                71205 избирателей. 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Снижение численности избирателей связано с расселением жителей из                                5 аварийных домов, естественным движением населения. С целью координации работы по своевременному и полному предоставлению сведений о гражданах Российской Федерации, для регистрации (учета) избирателей, участников референдума в администрации района создана рабочая группа по взаимодействию с государственными органами и органами учета населения. Ежегодно проводятся совещания с ответственными лицами. 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>Указ от 20.12.2016 №696 «Об утверждении Основ государственной политики Российской Федерации в области гражданской обороны на период до 2030 года».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районе определена общая потребность в защитных сооружениях для работников наибольших работающих смен организаций, отнесенных в установленном порядке к категориям по гражданской обороне, в количестве 11 защитных сооружений на 1350 укрываемых. Определен перечень подвальных и других заглубленных помещений для укрытия населения Железнодорожного района в количестве 135 единиц. В настоящее время решается вопрос о дооборудовании указанных заглубленных помещений в соответствии с нормами инженерно-технических требований.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>Указ от 07.05.2012 №601 «Об основных направлениях совершенствования системы государственного управления».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оказывает 24 услуги, из них                                         6 – государственных, 18 – муниципальных.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в администрации района оказывают три отдела: 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архитектуры и градостроительства (13 услуг);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коммунального хозяйства (4 услуги);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охране прав детства (7 услуг, из них 6 - государственных).  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на оказание услуг можно подать несколькими способами: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через Единый портал государственных услуг и портал «Электронный Барнаул»; 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по принципу «одного окна» через КАУ «Многофункциональный центр предоставления государственных и муниципальных услуг Алтайского края» (далее - КАУ «МФЦ Алтайского края»);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администрации района.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услуг осуществляется в соответствии с административными регламентами. Регламенты прошли общественную экспертизу и размещены на официальном Интернет-сайте города.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администрацией района и КАУ «МФЦ Алтайского края» </w:t>
      </w:r>
      <w:r>
        <w:rPr>
          <w:rFonts w:eastAsia="Times New Roman" w:cs="Times New Roman"/>
          <w:sz w:val="28"/>
          <w:szCs w:val="28"/>
          <w:lang w:eastAsia="ru-RU"/>
        </w:rPr>
        <w:t xml:space="preserve">03.03.2025 заключено дополнительное соглашение №4 к Соглашению от 22.10.2020 №275 о взаимодействии при организации предоставления государственных и муниципальных услуг. 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01.06.2025 специалистами администрации района предоставлены                                   276 муниципальных и государственных услуг, из них 182 – в электронном виде.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>Указ от 28.03.2011 № 352 «О мерах по совершенствованию организации исполнения поручений и указаний Президента Российской Федерации».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Ход выполнения указов Президента Российской Федерации в течение 2025 года рассмотрен на совещаниях у заместителей главы администрации (09.01., 20.01., 27.06.2025).</w:t>
      </w:r>
    </w:p>
    <w:p>
      <w:pPr>
        <w:pStyle w:val="BodyTextIndent"/>
        <w:widowControl/>
        <w:bidi w:val="0"/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Организационно-контрольным управлением проведены 2 проверки, направленные на реализацию указов Президента Российской Федерации.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9" w:customStyle="1">
    <w:name w:val="Основной текст с отступом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7"/>
    <w:pPr>
      <w:jc w:val="both"/>
    </w:pPr>
    <w:rPr>
      <w:sz w:val="28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9"/>
    <w:uiPriority w:val="99"/>
    <w:semiHidden/>
    <w:unhideWhenUsed/>
    <w:pPr>
      <w:spacing w:before="0" w:after="120"/>
      <w:ind w:left="283"/>
    </w:pPr>
    <w:rPr/>
  </w:style>
  <w:style w:type="numbering" w:styleId="Style12" w:default="1">
    <w:name w:val="Без списка"/>
    <w:uiPriority w:val="99"/>
    <w:semiHidden/>
    <w:unhideWhenUsed/>
    <w:qFormat/>
  </w:style>
  <w:style w:type="numbering" w:styleId="user2">
    <w:name w:val="Без списка (user)"/>
    <w:uiPriority w:val="99"/>
    <w:semiHidden/>
    <w:unhideWhenUsed/>
    <w:qFormat/>
  </w:style>
  <w:style w:type="table" w:styleId="12">
    <w:name w:val="Table Grid Light"/>
    <w:basedOn w:val="64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">
    <w:name w:val="Plain Table 1"/>
    <w:basedOn w:val="64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4">
    <w:name w:val="Plain Table 2"/>
    <w:basedOn w:val="6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5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6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7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8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9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0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1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2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3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4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5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6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7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8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9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0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1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2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3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4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5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6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7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8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9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0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pPr/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1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2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3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4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5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6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7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EC5E1" w:themeFill="accent1" w:themeFillTint="75"/>
      </w:tcPr>
    </w:tblStylePr>
    <w:tblStylePr w:type="band1Vert">
      <w:pPr/>
      <w:tblPr/>
      <w:tcPr>
        <w:shd w:val="clear" w:color="FFFFFF" w:fill="AEC5E1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F81BD" w:themeFill="accent1"/>
      </w:tcPr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sz w:val="22"/>
      </w:rPr>
      <w:tblPr/>
      <w:tcPr>
        <w:shd w:val="clear" w:color="FFFFFF" w:fill="4F81BD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8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2AFAD" w:themeFill="accent2" w:themeFillTint="75"/>
      </w:tcPr>
    </w:tblStylePr>
    <w:tblStylePr w:type="band1Vert">
      <w:pPr/>
      <w:tblPr/>
      <w:tcPr>
        <w:shd w:val="clear" w:color="FFFFFF" w:fill="E2AFAD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C0504D" w:themeFill="accent2"/>
      </w:tcPr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sz w:val="22"/>
      </w:rPr>
      <w:tblPr/>
      <w:tcPr>
        <w:shd w:val="clear" w:color="FFFFFF" w:fill="C0504D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9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1E0B3" w:themeFill="accent3" w:themeFillTint="75"/>
      </w:tcPr>
    </w:tblStylePr>
    <w:tblStylePr w:type="band1Vert">
      <w:pPr/>
      <w:tblPr/>
      <w:tcPr>
        <w:shd w:val="clear" w:color="FFFFFF" w:fill="D1E0B3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9BBB59" w:themeFill="accent3"/>
      </w:tcPr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sz w:val="22"/>
      </w:rPr>
      <w:tblPr/>
      <w:tcPr>
        <w:shd w:val="clear" w:color="FFFFFF" w:fill="9BBB59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0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C5B8D4" w:themeFill="accent4" w:themeFillTint="75"/>
      </w:tcPr>
    </w:tblStylePr>
    <w:tblStylePr w:type="band1Vert">
      <w:pPr/>
      <w:tblPr/>
      <w:tcPr>
        <w:shd w:val="clear" w:color="FFFFFF" w:fill="C5B8D4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8064A2" w:themeFill="accent4"/>
      </w:tcPr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sz w:val="22"/>
      </w:rPr>
      <w:tblPr/>
      <w:tcPr>
        <w:shd w:val="clear" w:color="FFFFFF" w:fill="8064A2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1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CD9E5" w:themeFill="accent5" w:themeFillTint="75"/>
      </w:tcPr>
    </w:tblStylePr>
    <w:tblStylePr w:type="band1Vert">
      <w:pPr/>
      <w:tblPr/>
      <w:tcPr>
        <w:shd w:val="clear" w:color="FFFFFF" w:fill="ACD9E5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BACC6" w:themeFill="accent5"/>
      </w:tcPr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sz w:val="22"/>
      </w:rPr>
      <w:tblPr/>
      <w:tcPr>
        <w:shd w:val="clear" w:color="FFFFFF" w:fill="4BACC6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2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BCFAA" w:themeFill="accent6" w:themeFillTint="75"/>
      </w:tcPr>
    </w:tblStylePr>
    <w:tblStylePr w:type="band1Vert">
      <w:pPr/>
      <w:tblPr/>
      <w:tcPr>
        <w:shd w:val="clear" w:color="FFFFFF" w:fill="FBCFAA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F79646" w:themeFill="accent6"/>
      </w:tcPr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sz w:val="22"/>
      </w:rPr>
      <w:tblPr/>
      <w:tcPr>
        <w:shd w:val="clear" w:color="FFFFFF" w:fill="F79646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3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54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55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56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57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58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59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60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1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2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3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5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6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6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7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8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9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0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2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6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7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8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9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110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111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112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113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114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115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116">
    <w:name w:val="Lined - Accent"/>
    <w:basedOn w:val="642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7">
    <w:name w:val="Lined - Accent 1"/>
    <w:basedOn w:val="642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8">
    <w:name w:val="Lined - Accent 2"/>
    <w:basedOn w:val="642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9">
    <w:name w:val="Lined - Accent 3"/>
    <w:basedOn w:val="642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0">
    <w:name w:val="Lined - Accent 4"/>
    <w:basedOn w:val="642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1">
    <w:name w:val="Lined - Accent 5"/>
    <w:basedOn w:val="642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2">
    <w:name w:val="Lined - Accent 6"/>
    <w:basedOn w:val="642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3">
    <w:name w:val="Bordered &amp; Lined - Accent"/>
    <w:basedOn w:val="64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4">
    <w:name w:val="Bordered &amp; Lined - Accent 1"/>
    <w:basedOn w:val="64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5">
    <w:name w:val="Bordered &amp; Lined - Accent 2"/>
    <w:basedOn w:val="64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6">
    <w:name w:val="Bordered &amp; Lined - Accent 3"/>
    <w:basedOn w:val="64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7">
    <w:name w:val="Bordered &amp; Lined - Accent 4"/>
    <w:basedOn w:val="64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8">
    <w:name w:val="Bordered &amp; Lined - Accent 5"/>
    <w:basedOn w:val="64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9">
    <w:name w:val="Bordered &amp; Lined - Accent 6"/>
    <w:basedOn w:val="64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0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1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2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3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4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5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6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642">
    <w:name w:val="Normal Table"/>
    <w:uiPriority w:val="99"/>
    <w:semiHidden/>
    <w:unhideWhenUsed/>
    <w:qFormat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3">
    <w:name w:val="Table Grid"/>
    <w:basedOn w:val="6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LibreOffice/25.2.3.2$Linux_X86_64 LibreOffice_project/520$Build-2</Application>
  <AppVersion>15.0000</AppVersion>
  <Pages>3</Pages>
  <Words>659</Words>
  <Characters>4857</Characters>
  <CharactersWithSpaces>5638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2024-06-05T23:47:00Z</dcterms:created>
  <dc:creator>org</dc:creator>
  <dc:description/>
  <dc:language>ru-RU</dc:language>
  <cp:lastModifiedBy/>
  <dcterms:modified xsi:type="dcterms:W3CDTF">2025-09-08T13:39:08Z</dcterms:modified>
  <cp:revision>8</cp:revision>
  <dc:subject/>
  <dc:title/>
</cp:coreProperties>
</file>