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jc w:val="both"/>
        <w:spacing w:before="0" w:after="450"/>
        <w:shd w:val="clear" w:color="ffffff" w:fill="ffffff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Serif" w:cs="PT Astra Serif"/>
          <w:b/>
          <w:bCs/>
          <w:color w:val="000000" w:themeColor="text1"/>
          <w:sz w:val="28"/>
          <w:szCs w:val="28"/>
        </w:rPr>
        <w:t xml:space="preserve">Памятка по соблюдению муниципальными служащими норм этики в целях противодействия коррупции и иным правонарушениям</w:t>
      </w:r>
      <w:r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150"/>
        <w:rPr>
          <w:rFonts w:ascii="PT Astra Serif" w:hAnsi="PT Astra Serif" w:eastAsia="Roboto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Особый публично-правовой статус государственных (муниципальных) служащих (далее – служащие), обусловленный исполнением полномочий государственных органов и органов местного самоуправления</w:t>
        <w:br/>
        <w:t xml:space="preserve"> (далее – государственные (муниципальные) органы), налагает на данну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ю категорию лиц ряд специальных установленных федеральными законами ограничений, запретов и требований. Принципы служебного поведения государственных служащих также содержатся в Указе Президента Российской Федерации от 12 августа 2002 г. № 885 и Типовом ко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дексе этики и служебного поведения государственных служащих Российской Федерации и муниципальных служащих, одобренном решением президиума Совета при Президенте Российской Федерации по противодействию коррупции от 23 декабря 2010 г. (протокол № 21).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150"/>
        <w:rPr>
          <w:rFonts w:ascii="PT Astra Serif" w:hAnsi="PT Astra Serif" w:eastAsia="Roboto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Вне зависимости от места и времени служащим необходимо учитывать, что их поведение должно всецело соответствовать ограничениям, запретам и требованиям, и не допускать поступков, способных вызвать сомнения в их честности и порядочности.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/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Профессиональная деятельность служащих, замещающих руководящие должности, как правило, носит публичный характер, такие служащие легко узнаваемы, непосредственно ассоциируются с государственными (муниципальными) органами, в связи с чем, обращают на себя вни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мание общества, включая средства массовой информации, в том числе и во внеслужебное время.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Служащие, замещающие руководящие должности, своим личным примером формируют правила поведения подчиненных.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Вне зависимости от занимаемой должности необходимо помнить, что служащий не должен совершать поступки, порочащие его честь и достоинство.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Служащему рекомендуется до совершения какого-либо поступка задуматься о том, как это будет воспринято коллегами по службе, и прислушаться к их профессиональным советам.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При размещении информации в информационно-телекоммуникационной сети «Интернет» (далее – сеть Интернет), в том числе в социальных медиа, в личных целях необходимо подходить к данному вопросу осознанно и ответственно. Недопустимо размещение служащим изображе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ний, текстовых, аудито-, видеоматериалов, прямо или косвенно указывающих на его должностной статус, если данное действие не связано с исполнением служебных обязанностей.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Важно помнить, что информация, опубликованная в сети Интернет, может оставаться открытой для доступа неограниченное количество времени и неограниченному кругу лиц.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Предоставление и публичное размещение информации от имени государственного (муниципального) органа имеют право осуществлять только лица, уполномоченные на размещение и предоставление такой информации.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Служащий должен помнить, что его неэтичный поступок, в том числе совершенный во внеслужебное время, может повлечь причинение вреда его репутации, авторитету государственного (муниципального) органа и в целом государственной (муниципальной) службе.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В целях противодействия коррупции и иным правонарушениям служащему рекомендуется руководствоваться в своем поведении при исполнении должностных обязанностей следующими основополагающими морально-этическими ценностями: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 честность;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- беспристрастность.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Служащий при исполнении должностных обязанностей и во внеслужебных отношениях должен не допускать каких-либо поступков, способных вызвать сомнения в порядочности его действий и тем самым подорвать доверие общества к деятельности государственных (муниципаль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ных) органов.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Неэтичный поступок служащего, в том числе совершенный во внеслужебное время, в случае если он влечет причинение вреда его репутации, авторитету государственного (муниципального) органа и в целом государственной (муниципальной) службе, может стать предметом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 рассмотрения комиссии по соблюдению требований к служебному поведению государственных (муниципальных) служащих и урегулированию конфликта интересов и повлечь наступление ответственности, предусмотренной законодательством Российской Федерации, если данный 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поступок был связан с использованием его должностного статуса и (или) является нарушением установленных ограничений, запретов и требований.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С учетом анализа правоприменительной практики, включая работу комиссий по соблюдению требований к служебному поведению государственных (муниципальных) служащих и урегулированию конфликта интересов, служащим рекомендуется исключить возникновение следующих н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еэтичных поступков.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1. Внеслужебное общение с заинтересованными лицами.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Личные дружеские взаимоотношения, включая встречи в свободное от работы время, с лицами, в отношении которых служащий непосредственно осуществляет функции государственного (муниципального) управления (контрольные и надзорные мероприятия, распределение бюдж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етных ассигнований или ограниченных ресурсов, осуществление государственных закупок либо выдача лицензий и разрешений и другие функции) способны вызвать обоснованные подозрения у окружающих в необъективности решений, принимаемых в пользу данных лиц.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Служащему не рекомендуется получать подарки или какие-либо иные вознаграждения, в том числе на личных торжественных мероприятиях, от своих друзей или связанных с ними людей, которые одновременно являются лицами, в отношении которых служащий непосредственно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 осуществляет функции государственного (муниципального) управления. Прием таких подарков может его скомпрометировать и повлечь возникновение сомнений в его честности, беспристрастности и объективности.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Участие в развлекательных мероприятиях, отдых, в том числе за рубежом, в компании лиц, в отношении которых служащий осуществляет функции государственного (муниципального) управления, способны скомпрометировать служащего.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Данные рекомендации также распространяются на ситуации, при которых функции государственного (муниципального) управления в отношении лиц, с которыми служащий состоит в дружеских взаимоотношениях, осуществляют подчиненные или подконтрольные служащему должно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стные лица, в случае если можно сделать вывод, что их действия осуществляются в интересах служащего.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2. Использование должностного статуса для получения личных преимуществ.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Служащий не должен использовать служебное положение для оказания влияния на деятельность государственных (муниципальных) органов, организаций, должностных лиц и граждан при решении вопросов личного характера как для себя, так и в интересах иных лиц.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Служащему не допускается использование служебного удостоверения и иных служебных средств, в том числе, служебного транспорта, а также служебной информации для получения личных преимуществ для себя или иных лиц (например, при взаимодействии с сотрудниками Г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осавтоинспекции, получении государственных (муниципальных) услуг, преодоления очередей и т.д.).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Неэтичным для служащего при решении вопросов личного характера для себя или в интересах иных лиц является упоминание фамилии, имени, отчества или должности третьих лиц, обладающих политическим или административным влиянием, с целью получения преимущества.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Служащему рекомендуется сообщать супруге (супругу), детям и иным близким родственникам (свойственникам) о недопустимости использования его имени, должности и авторитета для решения вопросов личного характера.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Недопустимым является использование служащим своего должностного статуса для целей, не связанных с осуществлением служебной деятельности, в том числе для рекламы товаров и услуг.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Служащему не следует совершать поступки, позволяющие усомниться в обоснованности или рациональности использования им транспортных средств, средств материально-технического и иного обеспечения, другого государственного (муниципального) имущества, включая пе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редачу их третьим лицам для целей, не связанных с осуществлением должностных обязанностей.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3. Использование имущества, несопоставимого с доходами.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Стоит воздерживаться от безвозмездного получения услуг, результатов выполненных работ, а также от безвозмездного получения имущества, в том числе во временное пользование, от коммерческих и некоммерческих организаций, поскольку получение подарков в виде лю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бой материальной выгоды служащему запрещено.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В служебном поведении необходимо воздерживаться от действий и высказываний, которые могут быть восприняты окружающими как согласие принять взятку или как просьба о даче взятки.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Дорогое имущество, законность происхождения которого не очевидна, может восприниматься как полученное в результате злоупотребления своим должностным положением.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b/>
          <w:bCs/>
          <w:color w:val="000000" w:themeColor="text1"/>
          <w:sz w:val="28"/>
          <w:szCs w:val="28"/>
        </w:rPr>
        <w:t xml:space="preserve">Разъяснительная работа</w:t>
      </w:r>
      <w:r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Государственным (муниципальным) органам рекомендуется на системной основе проводить комплекс разъяснительных мероприятий, направленных на повышение осведомленности служащих, граждан, поступающих на государственную (муниципальную) службу, иных лиц, обращающ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ихся за получением государственных (муниципальных) услуг или взаимодействующих по каким-либо вопросам с государственными (муниципальными) органами, о принципах служебного поведения, которыми должны руководствоваться служащие. Рекомендации по организации пр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оведения разъяснительных мероприятий содержатся в методических материалах Минтруда России по вопросам профилактики коррупции, размещенных на официальном сайте.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Применение мер ответственности.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Неэтичный поступок служащего может быть рассмотрен на заседании комиссии по соблюдению требований к служебному поведению служащих и урегулированию конфликта интересов. По итогам рассмотрения данного вопроса руководителю государственного (муниципального) ор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гана может быть рекомендовано: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указать служащему на недопустимость совершения неэтичного поступка;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применить к служащему конкретную меру ответственности, предусмотренную законодательством о государственной (муниципальной) службе и о противодействии коррупции.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Указание служащему на недопустимость совершения неэтичного поступка может выражаться в: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устном замечании;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предупреждении о недопустимости совершения неэтичного поступка;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требовании о публичном извинении.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По решению руководителя государственного (муниципального) органа указание на недопустимость совершения неэтичного поступка может быть совершено в присутствии иных служащих.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Меры дисциплинарной ответственности, предусмотренные федеральными законами, должны применяться к служащему в случае, если совершение неэтичного поступка повлекло нарушение установленных ограничений, запретов и требований.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Строгость мер ответственности за совершенный служащим неэтичный поступок зависит от объема ущерба, причиненного репутации служащего или авторитету государственного (муниципального) органа. Принципиальное значение имеет анализ поступка служащего на предмет 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его соответствия ограничениям, запретам и требованиям к служебному поведению исходя из характера, места, времени и обстоятельств его совершения.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Размер аудитории, которой стало известно о совершении служащим неэтичного поступка, увеличивает ущерб, причиненный репутации служащего, авторитету государственного (муниципального) органа.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300" w:after="150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Государственным (муниципальным) органам рекомендуется учитывать наличие фактов совершения служащим неэтичного поступка, в том числе рассмотренного на заседании комиссии по соблюдению требований к служебному поведению служащих и урегулированию конфликта инт</w:t>
      </w:r>
      <w:r>
        <w:rPr>
          <w:rFonts w:ascii="PT Astra Serif" w:hAnsi="PT Astra Serif" w:eastAsia="Roboto" w:cs="PT Astra Serif"/>
          <w:color w:val="000000" w:themeColor="text1"/>
          <w:sz w:val="28"/>
          <w:szCs w:val="28"/>
        </w:rPr>
        <w:t xml:space="preserve">ересов, при принятии кадровых решений.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PT Serif">
    <w:panose1 w:val="020A0603040505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2025-12-05T06:03:03Z</dcterms:modified>
</cp:coreProperties>
</file>