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надзорным мерам прокуратуры Железнодорожного района города Барнаула директор одной из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ресурсоснабжающих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организаций привлечен к административной ответственности за нарушение требований законодательства о противодействии коррупции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надзорным мерам прокуратуры Железнодорожного района города Барнаула директор одной из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 привлечен к административной ответственности за нарушение требований законодательства о противодействии коррупции.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Руководителем компании не исполнена обязанность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сообщить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приеме на работу бывшего государственного служащего по последнему месту его работы. Это явилось основанием для возбуждения в отношении должностного лица дела об административном правонарушении, предусмотренном ст.19.29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КоАП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РФ (незаконное привлечение к трудовой деятельности бывшего государственного служащего).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результатам рассмотрения, возбужденного прокурором дела об административном правонарушении в суде виновное лицо, признало допущенное им нарушение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антикоррупционного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законодательства.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мирового судьи должностное лицо привлечено к административной ответственности в виде штрафа в размере 20 тысяч рублей, который в настоящее время оплачен.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3" w:customStyle="1">
    <w:name w:val="Normal (Web)"/>
    <w:basedOn w:val="63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2025-06-18T04:45:38Z</dcterms:modified>
</cp:coreProperties>
</file>