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5"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АЛТАЙСКИЙ ФОНД ФИНАНСИРОВАНИЯ ПРЕДПРИНИМАТЕЛЬСТВА</w:t>
      </w:r>
      <w:r/>
    </w:p>
    <w:p>
      <w:pPr>
        <w:pStyle w:val="815"/>
        <w:jc w:val="center"/>
        <w:spacing w:line="240" w:lineRule="auto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Style w:val="668"/>
        <w:tblW w:w="0" w:type="auto"/>
        <w:tblInd w:w="-635" w:type="dxa"/>
        <w:tblLayout w:type="fixed"/>
        <w:tblLook w:val="04A0" w:firstRow="1" w:lastRow="0" w:firstColumn="1" w:lastColumn="0" w:noHBand="0" w:noVBand="1"/>
      </w:tblPr>
      <w:tblGrid>
        <w:gridCol w:w="4677"/>
        <w:gridCol w:w="11021"/>
      </w:tblGrid>
      <w:tr>
        <w:trPr/>
        <w:tc>
          <w:tcPr>
            <w:gridSpan w:val="2"/>
            <w:tcW w:w="1569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Условия предоставления микрозаймов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Размер займа, в российских рублях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1102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5 000 000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Процентная ставка по займу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11021" w:type="dxa"/>
            <w:textDirection w:val="lrTb"/>
            <w:noWrap w:val="false"/>
          </w:tcPr>
          <w:p>
            <w:pPr>
              <w:pStyle w:val="815"/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 НАЛИЧИИ ЗАЛОГА: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b/>
                <w:color w:val="f16c4d"/>
                <w:sz w:val="28"/>
                <w:szCs w:val="28"/>
              </w:rPr>
              <w:t xml:space="preserve">8,5%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 годовых для основных категорий предпринимателей;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b/>
                <w:color w:val="f16522"/>
                <w:sz w:val="28"/>
                <w:szCs w:val="28"/>
              </w:rPr>
              <w:t xml:space="preserve">4,75%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 годовых для самозанятых граждан (в т.ч. индивидуальных предпринимателей, применяющих специальный налоговый режим "налог на профессиональный доход"), за исключением территорий моногорода;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b/>
                <w:color w:val="f16c4d"/>
                <w:sz w:val="28"/>
                <w:szCs w:val="28"/>
              </w:rPr>
              <w:t xml:space="preserve">4,75%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 годовых для льготных категорий предпринимателей (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</w:rPr>
              <w:t xml:space="preserve">список льготных проектов внизу страницы под*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);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b/>
                <w:color w:val="f16522"/>
                <w:sz w:val="28"/>
                <w:szCs w:val="28"/>
              </w:rPr>
              <w:t xml:space="preserve">4,25%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(не более 1/2 ключевой ставки ЦБ) годовых для предпринимателей, осуществляющих деятельность в сфере социального предпринимательства**, СМСП и самозанятых граждан на территории моногорода при реализации приоритетных проектов (список приоритетных проекто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в внизу страница под***);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b/>
                <w:color w:val="f16c4d"/>
                <w:sz w:val="28"/>
                <w:szCs w:val="28"/>
              </w:rPr>
              <w:t xml:space="preserve">4,75%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 годовых для предпринимателей при реализации приоритетных проектов (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</w:rPr>
              <w:t xml:space="preserve">список приоритетных проектов внизу страницы под***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), за исключением территорий моногорода;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b/>
                <w:color w:val="f16522"/>
                <w:sz w:val="28"/>
                <w:szCs w:val="28"/>
              </w:rPr>
              <w:t xml:space="preserve">1%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(не более 1/2 ключевой ставки ЦБ) годовых для предпринимателей по программе "Комфортный старт";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b/>
                <w:color w:val="f16522"/>
                <w:sz w:val="28"/>
                <w:szCs w:val="28"/>
              </w:rPr>
              <w:t xml:space="preserve">3,5%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 годовых - инвестиционные микрозаймы по программе социально-экономического развития (другие условия смотрите внизу страницы под****);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color w:val="f16c4d"/>
                <w:sz w:val="28"/>
                <w:szCs w:val="28"/>
              </w:rPr>
              <w:t xml:space="preserve">1,0</w:t>
            </w:r>
            <w:r>
              <w:rPr>
                <w:rFonts w:ascii="Times New Roman" w:hAnsi="Times New Roman" w:eastAsia="Arial" w:cs="Times New Roman"/>
                <w:color w:val="f16c4d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 годовых для субъектов, пострадавших в ЧС.</w:t>
            </w:r>
            <w:r>
              <w:rPr>
                <w:rFonts w:ascii="Times New Roman" w:hAnsi="Times New Roman" w:eastAsia="Arial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6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21" w:type="dxa"/>
            <w:textDirection w:val="lrTb"/>
            <w:noWrap w:val="false"/>
          </w:tcPr>
          <w:p>
            <w:pPr>
              <w:pStyle w:val="815"/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 ОТСУТСТВИИ ЗАЛОГА: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color w:val="f16c4d"/>
                <w:sz w:val="28"/>
                <w:szCs w:val="28"/>
              </w:rPr>
              <w:t xml:space="preserve">1,0%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 годовых для субъектов, пострадавших в ЧС;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b/>
                <w:color w:val="f16522"/>
                <w:sz w:val="28"/>
                <w:szCs w:val="28"/>
              </w:rPr>
              <w:t xml:space="preserve">20%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 xml:space="preserve"> годовых для остальных категорий заемщиков;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b/>
                <w:color w:val="f16522"/>
                <w:sz w:val="28"/>
                <w:szCs w:val="28"/>
                <w:highlight w:val="white"/>
              </w:rPr>
              <w:t xml:space="preserve">14%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  <w:t xml:space="preserve">годовых для льготных категорий предпринимателей (список льготных проектов внизу страницы);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Arial" w:cs="Times New Roman"/>
                <w:b/>
                <w:color w:val="f16522"/>
                <w:sz w:val="28"/>
                <w:szCs w:val="28"/>
                <w:highlight w:val="white"/>
              </w:rPr>
              <w:t xml:space="preserve">12,75%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  <w:t xml:space="preserve">годовых для предпринимателей при реализации приоритетных проектов (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highlight w:val="white"/>
              </w:rPr>
              <w:t xml:space="preserve">список приоритетных проектов внизу страницы под***)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  <w:t xml:space="preserve">, за исключением территорий моногорода;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Arial" w:cs="Times New Roman"/>
                <w:b/>
                <w:color w:val="f16c4d"/>
                <w:sz w:val="28"/>
                <w:szCs w:val="28"/>
                <w:highlight w:val="white"/>
              </w:rPr>
              <w:t xml:space="preserve">8,5%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  <w:t xml:space="preserve"> годовых для предпринимателей, осуществляющих деятельность в сфере социального предпринимательства;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Arial" w:cs="Times New Roman"/>
                <w:b/>
                <w:color w:val="f16c4d"/>
                <w:sz w:val="28"/>
                <w:szCs w:val="28"/>
                <w:highlight w:val="white"/>
              </w:rPr>
              <w:t xml:space="preserve">8,5%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  <w:t xml:space="preserve"> годовых для предпринимателей из моногородов при реализации приоритетных проектов;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815"/>
              <w:jc w:val="both"/>
              <w:spacing w:line="24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Arial" w:cs="Times New Roman"/>
                <w:b/>
                <w:color w:val="f16c4d"/>
                <w:sz w:val="28"/>
                <w:szCs w:val="28"/>
                <w:highlight w:val="white"/>
              </w:rPr>
              <w:t xml:space="preserve">4,75%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white"/>
              </w:rPr>
              <w:t xml:space="preserve">для самозанятых граждан (в т.ч. индивидуальных предпринимателей, применяющих специальный налоговый режим "налог на профессиональный доход").</w:t>
            </w:r>
            <w:r/>
          </w:p>
        </w:tc>
      </w:tr>
    </w:tbl>
    <w:p>
      <w:pPr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2023-07-26T09:11:35Z</dcterms:modified>
</cp:coreProperties>
</file>