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Усыновление (удочерение)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приоритетная форма семейного жизнеустройства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детей-сирот и детей, оставшихся без попечения родителей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Усыновление (удочерение) является приоритетной формой устройства ребенка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воспитание в семью, при которой юридически устанавливаются родственные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ребенком и человеком или супружеской парой, не являющимися его родными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отцом и матерью. Все права и обязанности усыновленного ребенка приравниваются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правам и обязанностям родных детей.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Требования, предъявляемые к усыновителям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Усыновителями могут быть совершеннолетние лица обоего пола, за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исключением: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1) лиц, признанных судом недееспособными или ограниченно дееспособными;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2) супругов, один из которых признан судом недееспособным или ограниченно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дееспособным;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3) лиц, лишенных по суду родительских прав или ограниченных судом в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родительских правах;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4) лиц, отстраненных от обязанностей опекуна (попечителя) за ненадлежащее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выполнение возложенных на него законом обязанностей;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5) бывших усыновителей, если усыновление отменено судом по их вине;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6) лиц, которые по состоянию здоровья не могут усыновить ребенка. </w:t>
      </w:r>
      <w:hyperlink r:id="rId8" w:tooltip="https://www.consultant.ru/document/cons_doc_LAW_358023/75b28b9f1c83df3963c0f2daaff1f87e17e8ea9e/#dst100012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Перечень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 заболеваний, при наличии которых лицо не может усыновить ребенка, принять его под опеку, попечительство, взять в приемную или патронатную семью, устанавливается Правительством Российской Федерации. Медицинское освидетельствование лиц, желающих усыновить д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етей, оставшихся без попечения родителей, проводится в рамках </w:t>
      </w:r>
      <w:hyperlink r:id="rId9" w:tooltip="https://www.consultant.ru/document/cons_doc_LAW_141711/ed061ebeff9beb04c0d94a210aa7554daf70f1b7/#dst100068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программы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 государственных гарантий бесплатного оказания гражданам медицинской помощи в </w:t>
      </w:r>
      <w:hyperlink r:id="rId10" w:tooltip="https://www.consultant.ru/document/cons_doc_LAW_166604/a7e3a78e37c19c5c94b2a6f8ccd3f115126dc72f/#dst100011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, установленном уполномоченным Правительством Российской Федерации федеральным органом исполнительной власти;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7) лиц, которые на момент усыновления не имеют дохода, обеспечивающего усыновляемому ребенку </w:t>
      </w:r>
      <w:hyperlink r:id="rId11" w:tooltip="https://www.consultant.ru/document/cons_doc_LAW_407365/#dst100001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прожиточный минимум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, установленный в субъекте Российской Федерации, на территории которого проживают такие лица;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8) лиц, не имеющих постоянного места жительства, кроме лиц, относящихся к коренным малочисленным народам Российской Федерации, ведущих кочевой и (или) полукочевой образ жизни и не имеющих места, где они постоянно или преимущественно проживают, в случае усы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новления ими ребенка из числа лиц, относящихся к коренным малочисленным народам Российской Федерации;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9)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половой неприкосновенности 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 половой свободы личности, а также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за исключением случаев,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предусмотренных подпунктом 10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настоящего пункта;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10) лиц из числа лиц, указанных в </w:t>
      </w:r>
      <w:hyperlink r:id="rId12" w:tooltip="https://www.consultant.ru/document/cons_doc_LAW_453483/ef34350ac8a228c304eaa8540e308acc341f29c8/#dst144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подпункте 9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 настоящего пункта, имевших судимость либо подвергавшихся уголовному преследованию за преступления против жизни и здоровья, против свободы, чести и достоинства личности (за исключением незаконной госпитализации в медицинскую организацию, оказывающую психиа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трическую помощь в стационарных условиях, и клеветы), против семьи и несовершеннолетних, против здоровья населения и общественной нравственности, против общественной безопасности, мира и безопасности человечества, относящиеся к преступлениям небольшой или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средней тяжести, в случае признания судом таких лиц представляющими опасность для жизни, здоровья и нравственности усыновляемого ребенка. При вынесении решения об усыновлении ребенка таким лицом суд учитывает обстоятельства деяния, за которое такое лицо 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двергалось уголовному преследованию, срок, прошедший с момента совершения деяния, форму вины, обстоятельства, характеризующие личность, в том числе поведение такого лица после совершения деяния, и иные обстоятельства в целях определения возможности обеспеч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ить усыновляемому ребенку полноценное физическое, психическое, духовное и нравственное развитие без риска для жизни ребенка и его здоровья;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11) лиц, имеющих судимость за тяжкие и особо тяжкие преступления, не относящиеся к преступлениям, указанным в </w:t>
      </w:r>
      <w:hyperlink r:id="rId13" w:tooltip="https://www.consultant.ru/document/cons_doc_LAW_453483/ef34350ac8a228c304eaa8540e308acc341f29c8/#dst144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подпункте 9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 настоящего пункта;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12) лиц, не прошедших подготовки в порядке, установленном </w:t>
      </w:r>
      <w:hyperlink r:id="rId14" w:tooltip="https://www.consultant.ru/document/cons_doc_LAW_453483/ef34350ac8a228c304eaa8540e308acc341f29c8/#dst153" w:history="1">
        <w:r>
          <w:rPr>
            <w:rStyle w:val="186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000000" w:themeColor="text1"/>
            <w:sz w:val="28"/>
            <w:szCs w:val="28"/>
            <w:u w:val="none"/>
          </w:rPr>
          <w:t xml:space="preserve">пунктом 6</w:t>
        </w:r>
      </w:hyperlink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 настоящей статьи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ыли отстранены от исполнения возложенных на них обязанностей);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color w:val="000000" w:themeColor="text1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13) 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лиц, являющихся гражданами указанного государства и не состоящих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 в браке;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u w:val="none"/>
        </w:rPr>
        <w:t xml:space="preserve">14) лиц, изменивших пол.</w:t>
      </w:r>
      <w:r>
        <w:rPr>
          <w:rFonts w:ascii="Times New Roman" w:hAnsi="Times New Roman" w:cs="Times New Roman"/>
          <w:b w:val="0"/>
          <w:bCs w:val="0"/>
          <w:i w:val="0"/>
          <w:color w:val="000000" w:themeColor="text1"/>
          <w:sz w:val="28"/>
          <w:szCs w:val="28"/>
          <w:highlight w:val="none"/>
          <w:u w:val="none"/>
        </w:rPr>
      </w:r>
      <w:r/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усыновить ребенка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1. Подготовка документов для получения заключение о возможности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усыновителями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желающие усыновить ребенка подают в 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по месту своего жительства заявление с просьбой 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заключение о возможности быть усыновителями с приложением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документов: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краткая автобиография;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справка с места работы лица, желающего усыновить ребенка,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должности и размера средней заработной платы за последние 12 месяцев и (или)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доход указанного лица, или справка с места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супруга (супруги) лица, желающего усыновить ребенка, с указанием должности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размера средней заработной платы за последние 12 месяцев и (или) иной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подтверждающий доход супруга (супруги);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копия финансового лицевого сч</w:t>
      </w:r>
      <w:r>
        <w:rPr>
          <w:rFonts w:ascii="Times New Roman" w:hAnsi="Times New Roman" w:cs="Times New Roman"/>
          <w:sz w:val="28"/>
          <w:szCs w:val="28"/>
        </w:rPr>
        <w:t xml:space="preserve">ета и выписка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домовой</w:t>
      </w:r>
      <w:r>
        <w:rPr>
          <w:rFonts w:ascii="Times New Roman" w:hAnsi="Times New Roman" w:cs="Times New Roman"/>
          <w:sz w:val="28"/>
          <w:szCs w:val="28"/>
        </w:rPr>
        <w:t xml:space="preserve"> (поквартирной)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книги с места жительства или документ, подтверждающий право собственности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жилое помещение;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справка органов внутренних дел, подтверждающая отсутствие 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указанных в п.9 требований, предъявляемых к усыновителям;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медицинское заключение медицинской организации о состоянии здоровья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лица, желающего усыновить ребенка;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копия свидетельства о браке (если состоят в браке);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7) копия свидетельства или иного документа о прохождении подготовки лица,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желающего усыновить ребенка, в порядке, установленном пунктом 4 статьи 127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Семейного кодекса Российской Федерации (кроме близких родственников детей,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лиц, которые являются или являлись усыновителями и в отношении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усыновление не было отменено, и лиц, которые являются или являлись опекунами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(попечителями) детей и которые не были отстранены от исполнения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них обязанностей);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копия пенсионного удостоверения, справка из территориального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фонда Российской Федерации или иного органа, осуществляющего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пенсионное обеспечение (для лиц, основным источником </w:t>
      </w:r>
      <w:r>
        <w:rPr>
          <w:rFonts w:ascii="Times New Roman" w:hAnsi="Times New Roman" w:cs="Times New Roman"/>
          <w:sz w:val="28"/>
          <w:szCs w:val="28"/>
        </w:rPr>
        <w:t xml:space="preserve">доходов которых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страховое обеспечение по обязательному пенсионному страхованию или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пенсионные выплаты).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перечисленные в подпунктах 2 - 4 действительны в течение года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их выдачи, а медицинское заключение о состоянии здоровья - в течение 6 месяцев.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гражданином не были представлены самостоятельно документы,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предусмотренные пунктами 3, 4 и 8, указанные документы запрашиваются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в соответствующих уполномоченных органах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на учет в качестве кандидатов в усыновители граждан, желающих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усыновить ребенка и имеющих заключение о возможности быть опекуном,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осуществляется органом опеки и попечительства на основании заявления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и представленного ими заключения о возможности быть опекуном.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гражданами документов, указанных выше, в этом случае не требуется.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2. Подбор ребенка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постановки на учет граждан в качестве кандидатов в усыновители орган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опеки и попечительства предоставляет им информацию о ребенке (детях),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 быть усыновлен, и выдает направление для посещения ребенка (детей) по месту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жительства (нахождения) ребенка (детей).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кандидаты в усыновители не смогли подобрать для усыновления ребенка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месту своего жительства, они могут обратиться за получением сведений о ребенке,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подлежащем усыновлению, в другой орган опеки и попечительства по своему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в орган исполнительной власти субъекта Российской Федерации, на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возложена работа по устройству детей на воспитание в семьи.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Кандидаты в усыновители имеют право: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-получить подробную информацию о ребенке и сведения о наличии у 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родственников;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-обратиться в медицинское учреждение для проведения независимого медицинского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освидетельствования усыновляемого ребенка с участием представителя учреждения,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котором находится ребенок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3. Судебное рассмотрение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усыновления или удочерения производится судом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особого производства (на закрытом заседании), по правилам, предусмотренным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гражданским процессуальным законодательством.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4. </w:t>
      </w:r>
      <w:r>
        <w:rPr>
          <w:rFonts w:ascii="Times New Roman" w:hAnsi="Times New Roman" w:cs="Times New Roman"/>
          <w:sz w:val="28"/>
          <w:szCs w:val="28"/>
        </w:rPr>
        <w:t xml:space="preserve">Послесудебное</w:t>
      </w:r>
      <w:r>
        <w:rPr>
          <w:rFonts w:ascii="Times New Roman" w:hAnsi="Times New Roman" w:cs="Times New Roman"/>
          <w:sz w:val="28"/>
          <w:szCs w:val="28"/>
        </w:rPr>
        <w:t xml:space="preserve"> оформление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Усыновление ребенка подлежит государственной регистрации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установленном для государственной регистрации актов гражданского состояния.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усыновления ребенка производится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записи актов гражданского состояния по месту вынесения решения суда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установлении усыновления ребенка или по месту жительства усыновителей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(усыновителя).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 за условиями жизни и воспитания детей в семьях усыновителей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защиты прав и законных интересов усыновленных детей орган опеки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попечительства по месту жительства усыновленного ребенка осуществляет 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условиями его жизни и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Контрольное обследование условий жизни и воспитания усыновленного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исключением случаев усыновления отчимом (мачехой), проводится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уполномоченным специалистом органа опеки и попечительства в следующем порядке: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контрольное обследование - в первый год после усыновления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истечении 5 месяцев со дня вступления в законную силу решения суда, но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окончания 7-го месяца со дня вступления в законную силу решения суда;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 контрольное обследование - по истечении 11 месяцев со дня вступления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законную силу решения суда, но не позднее окончания 13-го месяца со дня 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законную силу решения суда;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контрольное обследование - по истечении 23 месяцев со дня вступления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законную силу решения суда, но не позднее окончания 25-го месяца со дня 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законную силу решения суда;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контрольное обследование - по истечении 35 месяцев со дня вступления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законную силу решения суда, но не позднее окончания 37-го месяца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законную силу решения суда.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Отмена усыновления и ее правовые последствия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Отмена усыновления ребенка производится в судебном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Усыновление ребенка может быть отменено в случаях, если усыновители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уклоняются от выполнения возложенных на них обязанностей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злоупотребляют родительскими правами, жестоко обращаются с усыновленным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ребенком, являются больными хроническим алкоголизмом или наркоманией.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Правом требовать отмены усыновления ребенка обладают его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усыновители ребенка, усыновленный ребенок, достигший возраста четырнадцати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 опеки и попечительства, а также прокурор.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Последствия отмены усыновления 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отмене судом усыновления ребенка взаимные права и обязанности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усыновленного ребенка и усыновителей (родственников усыновителей) прекращаются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восстанавливаются взаимные права и обязанности ребенка и его родителей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родственников), если этого требуют интересы ребенка.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Суд, исходя из интересов ребенка, вправе обязать бывшего усыновителя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выплачивать средства на содержание ребенка.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/document/cons_doc_LAW_358023/75b28b9f1c83df3963c0f2daaff1f87e17e8ea9e/#dst100012" TargetMode="External"/><Relationship Id="rId9" Type="http://schemas.openxmlformats.org/officeDocument/2006/relationships/hyperlink" Target="https://www.consultant.ru/document/cons_doc_LAW_141711/ed061ebeff9beb04c0d94a210aa7554daf70f1b7/#dst100068" TargetMode="External"/><Relationship Id="rId10" Type="http://schemas.openxmlformats.org/officeDocument/2006/relationships/hyperlink" Target="https://www.consultant.ru/document/cons_doc_LAW_166604/a7e3a78e37c19c5c94b2a6f8ccd3f115126dc72f/#dst100011" TargetMode="External"/><Relationship Id="rId11" Type="http://schemas.openxmlformats.org/officeDocument/2006/relationships/hyperlink" Target="https://www.consultant.ru/document/cons_doc_LAW_407365/#dst100001" TargetMode="External"/><Relationship Id="rId12" Type="http://schemas.openxmlformats.org/officeDocument/2006/relationships/hyperlink" Target="https://www.consultant.ru/document/cons_doc_LAW_453483/ef34350ac8a228c304eaa8540e308acc341f29c8/#dst144" TargetMode="External"/><Relationship Id="rId13" Type="http://schemas.openxmlformats.org/officeDocument/2006/relationships/hyperlink" Target="https://www.consultant.ru/document/cons_doc_LAW_453483/ef34350ac8a228c304eaa8540e308acc341f29c8/#dst144" TargetMode="External"/><Relationship Id="rId14" Type="http://schemas.openxmlformats.org/officeDocument/2006/relationships/hyperlink" Target="https://www.consultant.ru/document/cons_doc_LAW_453483/ef34350ac8a228c304eaa8540e308acc341f29c8/#dst15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Наталья Викторовна</dc:creator>
  <cp:keywords/>
  <dc:description/>
  <cp:revision>5</cp:revision>
  <dcterms:created xsi:type="dcterms:W3CDTF">2024-03-01T07:16:00Z</dcterms:created>
  <dcterms:modified xsi:type="dcterms:W3CDTF">2024-10-03T08:30:38Z</dcterms:modified>
</cp:coreProperties>
</file>