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Pr="00E262A2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D77741">
        <w:rPr>
          <w:sz w:val="28"/>
          <w:szCs w:val="28"/>
          <w:u w:val="single"/>
        </w:rPr>
        <w:t xml:space="preserve">03.04.2025 </w:t>
      </w:r>
      <w:r w:rsidRPr="00E262A2">
        <w:rPr>
          <w:sz w:val="28"/>
          <w:szCs w:val="28"/>
        </w:rPr>
        <w:t xml:space="preserve"> №</w:t>
      </w:r>
      <w:r w:rsidR="00D77741">
        <w:rPr>
          <w:sz w:val="28"/>
          <w:szCs w:val="28"/>
          <w:u w:val="single"/>
        </w:rPr>
        <w:t>200/151/ПР-506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27111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7F0BBD" w:rsidRDefault="007F0BBD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7F0BBD">
        <w:rPr>
          <w:b/>
          <w:sz w:val="28"/>
          <w:szCs w:val="28"/>
        </w:rPr>
        <w:t>г</w:t>
      </w:r>
      <w:proofErr w:type="gramStart"/>
      <w:r w:rsidRPr="007F0BBD">
        <w:rPr>
          <w:b/>
          <w:sz w:val="28"/>
          <w:szCs w:val="28"/>
        </w:rPr>
        <w:t>.Б</w:t>
      </w:r>
      <w:proofErr w:type="gramEnd"/>
      <w:r w:rsidRPr="007F0BBD">
        <w:rPr>
          <w:b/>
          <w:sz w:val="28"/>
          <w:szCs w:val="28"/>
        </w:rPr>
        <w:t>арнаул</w:t>
      </w:r>
      <w:proofErr w:type="spellEnd"/>
      <w:r w:rsidRPr="007F0BBD">
        <w:rPr>
          <w:b/>
          <w:sz w:val="28"/>
          <w:szCs w:val="28"/>
        </w:rPr>
        <w:t xml:space="preserve">, </w:t>
      </w:r>
      <w:proofErr w:type="spellStart"/>
      <w:r w:rsidR="0086232A">
        <w:rPr>
          <w:b/>
          <w:sz w:val="28"/>
          <w:szCs w:val="28"/>
        </w:rPr>
        <w:t>ул.Анатолия</w:t>
      </w:r>
      <w:proofErr w:type="spellEnd"/>
      <w:r w:rsidR="0086232A">
        <w:rPr>
          <w:b/>
          <w:sz w:val="28"/>
          <w:szCs w:val="28"/>
        </w:rPr>
        <w:t xml:space="preserve">, 104, </w:t>
      </w:r>
      <w:proofErr w:type="spellStart"/>
      <w:r w:rsidR="0086232A">
        <w:rPr>
          <w:b/>
          <w:sz w:val="28"/>
          <w:szCs w:val="28"/>
        </w:rPr>
        <w:t>пер.Малый</w:t>
      </w:r>
      <w:proofErr w:type="spellEnd"/>
      <w:r w:rsidR="0086232A">
        <w:rPr>
          <w:b/>
          <w:sz w:val="28"/>
          <w:szCs w:val="28"/>
        </w:rPr>
        <w:t xml:space="preserve"> </w:t>
      </w:r>
      <w:proofErr w:type="spellStart"/>
      <w:r w:rsidR="0086232A">
        <w:rPr>
          <w:b/>
          <w:sz w:val="28"/>
          <w:szCs w:val="28"/>
        </w:rPr>
        <w:t>Прудской</w:t>
      </w:r>
      <w:proofErr w:type="spellEnd"/>
      <w:r w:rsidR="0086232A">
        <w:rPr>
          <w:b/>
          <w:sz w:val="28"/>
          <w:szCs w:val="28"/>
        </w:rPr>
        <w:t xml:space="preserve">, 36, </w:t>
      </w:r>
      <w:proofErr w:type="spellStart"/>
      <w:r w:rsidR="0086232A">
        <w:rPr>
          <w:b/>
          <w:sz w:val="28"/>
          <w:szCs w:val="28"/>
        </w:rPr>
        <w:t>ул.Кутузова</w:t>
      </w:r>
      <w:proofErr w:type="spellEnd"/>
      <w:r w:rsidR="0086232A">
        <w:rPr>
          <w:b/>
          <w:sz w:val="28"/>
          <w:szCs w:val="28"/>
        </w:rPr>
        <w:t xml:space="preserve">, 2, </w:t>
      </w:r>
      <w:proofErr w:type="spellStart"/>
      <w:r w:rsidR="0086232A">
        <w:rPr>
          <w:b/>
          <w:sz w:val="28"/>
          <w:szCs w:val="28"/>
        </w:rPr>
        <w:t>ул.Никитина</w:t>
      </w:r>
      <w:proofErr w:type="spellEnd"/>
      <w:r w:rsidR="0086232A">
        <w:rPr>
          <w:b/>
          <w:sz w:val="28"/>
          <w:szCs w:val="28"/>
        </w:rPr>
        <w:t xml:space="preserve">, 122, </w:t>
      </w:r>
      <w:proofErr w:type="spellStart"/>
      <w:r w:rsidR="0086232A">
        <w:rPr>
          <w:b/>
          <w:sz w:val="28"/>
          <w:szCs w:val="28"/>
        </w:rPr>
        <w:t>ул.Гоголя</w:t>
      </w:r>
      <w:proofErr w:type="spellEnd"/>
      <w:r w:rsidR="0086232A">
        <w:rPr>
          <w:b/>
          <w:sz w:val="28"/>
          <w:szCs w:val="28"/>
        </w:rPr>
        <w:t>, 79</w:t>
      </w: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475AFF">
        <w:rPr>
          <w:sz w:val="27"/>
          <w:szCs w:val="27"/>
        </w:rPr>
        <w:t>23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A5420C">
        <w:rPr>
          <w:sz w:val="27"/>
          <w:szCs w:val="27"/>
        </w:rPr>
        <w:t>5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A5420C" w:rsidRDefault="00A5420C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3C53C1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110B0D" w:rsidRPr="00617F7E" w:rsidRDefault="00A5420C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                                                           А.Е. Пахоменко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85" w:rsidRDefault="00873885" w:rsidP="00617F7E">
      <w:r>
        <w:separator/>
      </w:r>
    </w:p>
  </w:endnote>
  <w:endnote w:type="continuationSeparator" w:id="0">
    <w:p w:rsidR="00873885" w:rsidRDefault="0087388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85" w:rsidRDefault="00873885" w:rsidP="00617F7E">
      <w:r>
        <w:separator/>
      </w:r>
    </w:p>
  </w:footnote>
  <w:footnote w:type="continuationSeparator" w:id="0">
    <w:p w:rsidR="00873885" w:rsidRDefault="0087388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741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975B3"/>
    <w:rsid w:val="003C53C1"/>
    <w:rsid w:val="003D2ACC"/>
    <w:rsid w:val="00475AFF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F0BBD"/>
    <w:rsid w:val="00836422"/>
    <w:rsid w:val="00843340"/>
    <w:rsid w:val="0086232A"/>
    <w:rsid w:val="00873885"/>
    <w:rsid w:val="0089053D"/>
    <w:rsid w:val="008A3324"/>
    <w:rsid w:val="008A633B"/>
    <w:rsid w:val="008C3CF2"/>
    <w:rsid w:val="008D4258"/>
    <w:rsid w:val="008E7AA0"/>
    <w:rsid w:val="009170B7"/>
    <w:rsid w:val="00962EB0"/>
    <w:rsid w:val="009C6B4C"/>
    <w:rsid w:val="009E55BF"/>
    <w:rsid w:val="009E57B3"/>
    <w:rsid w:val="00A112F5"/>
    <w:rsid w:val="00A26A47"/>
    <w:rsid w:val="00A5420C"/>
    <w:rsid w:val="00A60917"/>
    <w:rsid w:val="00A82890"/>
    <w:rsid w:val="00A84704"/>
    <w:rsid w:val="00AE109B"/>
    <w:rsid w:val="00B00D15"/>
    <w:rsid w:val="00B260CE"/>
    <w:rsid w:val="00B47818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77741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3</cp:revision>
  <cp:lastPrinted>2024-02-07T08:07:00Z</cp:lastPrinted>
  <dcterms:created xsi:type="dcterms:W3CDTF">2025-04-02T04:45:00Z</dcterms:created>
  <dcterms:modified xsi:type="dcterms:W3CDTF">2025-04-04T02:42:00Z</dcterms:modified>
</cp:coreProperties>
</file>