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ar-SA"/>
        </w:rPr>
        <w:t xml:space="preserve">Торговые места для пенсионеров, расположенные на постоянно действующих ярмарках города Барнаула 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Lucida Sans Unicode" w:cs="Times New Roman"/>
          <w:sz w:val="28"/>
          <w:szCs w:val="28"/>
          <w:lang w:eastAsia="ar-SA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ar-SA"/>
        </w:rPr>
      </w:r>
      <w:r>
        <w:rPr>
          <w:rFonts w:ascii="Times New Roman" w:hAnsi="Times New Roman" w:eastAsia="Lucida Sans Unicode" w:cs="Times New Roman"/>
          <w:sz w:val="28"/>
          <w:szCs w:val="28"/>
          <w:lang w:eastAsia="ar-SA"/>
        </w:rPr>
      </w:r>
      <w:r>
        <w:rPr>
          <w:rFonts w:ascii="Times New Roman" w:hAnsi="Times New Roman" w:eastAsia="Lucida Sans Unicode" w:cs="Times New Roman"/>
          <w:sz w:val="28"/>
          <w:szCs w:val="28"/>
          <w:lang w:eastAsia="ar-SA"/>
        </w:rPr>
      </w:r>
    </w:p>
    <w:tbl>
      <w:tblPr>
        <w:tblpPr w:horzAnchor="page" w:tblpX="1833" w:vertAnchor="page" w:tblpY="2163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529"/>
      </w:tblGrid>
      <w:tr>
        <w:tblPrEx/>
        <w:trPr/>
        <w:tc>
          <w:tcPr>
            <w:tcW w:w="6529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«Сельхоз рынок» (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ул.Северо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 Западная, 6)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6529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«Новый рынок» (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ул.Пионеров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13)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6529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Ярмарка на Космонавтов (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пр-кт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 Космонавтов, 59)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6529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Докучаево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» (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ул.Попова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70д)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6529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ТФ «Агреман» (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ул.Попова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70)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6529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«Динамо» (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ул.Никитина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55)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6529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Ярмарка «Эко-ярмарка ВДНХ» (ул.Взлетная,2к)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:lang w:eastAsia="ar-SA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Архипова</dc:creator>
  <cp:keywords/>
  <dc:description/>
  <cp:lastModifiedBy>bakulina.iv</cp:lastModifiedBy>
  <cp:revision>17</cp:revision>
  <dcterms:created xsi:type="dcterms:W3CDTF">2024-04-23T04:30:00Z</dcterms:created>
  <dcterms:modified xsi:type="dcterms:W3CDTF">2025-11-05T07:51:32Z</dcterms:modified>
</cp:coreProperties>
</file>