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D" w:rsidRDefault="00F72DE6" w:rsidP="00F72DE6">
      <w:pPr>
        <w:jc w:val="center"/>
      </w:pPr>
      <w:r>
        <w:t>ОТЧЕТ</w:t>
      </w:r>
    </w:p>
    <w:p w:rsidR="00F72DE6" w:rsidRDefault="00F72DE6" w:rsidP="00F72DE6">
      <w:pPr>
        <w:jc w:val="center"/>
      </w:pPr>
      <w:r>
        <w:t xml:space="preserve">о работе комитета по физической культуре и спорту города Барнаула </w:t>
      </w:r>
    </w:p>
    <w:p w:rsidR="00F72DE6" w:rsidRDefault="00F72DE6" w:rsidP="00F72DE6">
      <w:pPr>
        <w:jc w:val="center"/>
      </w:pPr>
      <w:r>
        <w:t xml:space="preserve">в </w:t>
      </w:r>
      <w:r w:rsidR="008C0554">
        <w:t>1 полугодие</w:t>
      </w:r>
      <w:r>
        <w:t xml:space="preserve"> 2024 года</w:t>
      </w:r>
    </w:p>
    <w:p w:rsidR="00F72DE6" w:rsidRDefault="00F72DE6" w:rsidP="00F72DE6">
      <w:pPr>
        <w:jc w:val="center"/>
      </w:pPr>
    </w:p>
    <w:p w:rsidR="00F72DE6" w:rsidRDefault="00F72DE6" w:rsidP="00F72DE6">
      <w:pPr>
        <w:jc w:val="both"/>
      </w:pPr>
      <w:r>
        <w:tab/>
        <w:t xml:space="preserve">Работа комитета по физической культуре и спорту города Барнаула в </w:t>
      </w:r>
      <w:r w:rsidR="00DF05E3">
        <w:t xml:space="preserve">                     </w:t>
      </w:r>
      <w:r w:rsidR="008C0554">
        <w:t>1 полугодии</w:t>
      </w:r>
      <w:r>
        <w:t xml:space="preserve"> 2024 года осуществлялась в рамках муниципальной программы «Развитие физической культуры и спорта в городе Барнауле», утвержденной постановлением администрации города от 19.12.2019 №2114, и была направлена на реализацию следующих задач:</w:t>
      </w:r>
    </w:p>
    <w:p w:rsidR="00F72DE6" w:rsidRDefault="00F72DE6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о</w:t>
      </w:r>
      <w:r w:rsidRPr="008C27B6">
        <w:t xml:space="preserve">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C27B6">
        <w:rPr>
          <w:rFonts w:eastAsia="Calibri"/>
        </w:rPr>
        <w:t>Губернатора Алтайского края</w:t>
      </w:r>
      <w:r w:rsidRPr="008A0F7E"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участие в реализации федерального и регионального проектов «</w:t>
      </w:r>
      <w:r w:rsidRPr="00917C48"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</w:t>
      </w:r>
      <w:r>
        <w:t xml:space="preserve"> (далее - проект «Спорт - норма жизни»);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реализация Концепции развития детско-юношеского спорта в Российской Федерации до 2030 года, утвержденной распоряжением Правительства Российской Федерации от 28.12.2021 №3894;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Указа Президента Российской Федерации от 07.05.2012 №597 «О мерах по реализации государственной социальной политики»;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обеспечение всеобщего и равного доступа населения к информации о работе комитета в рамках реализации Федераль</w:t>
      </w:r>
      <w:r w:rsidR="008C0554">
        <w:t xml:space="preserve">ного закона от </w:t>
      </w:r>
      <w:proofErr w:type="gramStart"/>
      <w:r w:rsidR="008C0554">
        <w:t xml:space="preserve">09.02.2009  </w:t>
      </w:r>
      <w:r w:rsidRPr="008A0F7E">
        <w:t>№</w:t>
      </w:r>
      <w:proofErr w:type="gramEnd"/>
      <w:r w:rsidRPr="008A0F7E"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мер по противодействию коррупции в рамках выполнения Федерального закона от 25.12.2008 № 273-ФЗ «О противодействии коррупции»;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муниципальной Программы «</w:t>
      </w:r>
      <w:r>
        <w:t xml:space="preserve">Развитие физической культуры и </w:t>
      </w:r>
      <w:r w:rsidRPr="008A0F7E">
        <w:t>спорта в г. Барнауле»;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предоставления</w:t>
      </w:r>
      <w:r w:rsidRPr="00B10EC0">
        <w:t xml:space="preserve"> муниципальных услуг и работ по </w:t>
      </w:r>
      <w:r>
        <w:t xml:space="preserve">реализации дополнительных образовательных программ спортивной подготовки </w:t>
      </w:r>
      <w:r w:rsidRPr="00B10EC0">
        <w:t>в соответствии с федеральными стандартами спортивной подготовки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популяризация здорового образа жизни среди населения через пропаганду физической культуры и спорта;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осуществление поддержки спортивных организаций и объединений;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 xml:space="preserve">развитие инфраструктуры </w:t>
      </w:r>
      <w:r>
        <w:t xml:space="preserve">массового </w:t>
      </w:r>
      <w:r w:rsidRPr="00320B1A">
        <w:t>спорта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обеспечение антитеррористической защищенности муниципальных объектов спорта;</w:t>
      </w:r>
    </w:p>
    <w:p w:rsidR="008C0554" w:rsidRDefault="008C0554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подготовку спортивного резерва;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внедрение Всероссийского физкультурно-спортивного комплекса «Готов к труду и обороне» на территории города Барнаула;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и проведение мероприятий, посвященных Году семьи;</w:t>
      </w:r>
    </w:p>
    <w:p w:rsidR="00D36BE5" w:rsidRDefault="00D36BE5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lastRenderedPageBreak/>
        <w:t>организация проведения официальных муниципальных физкультурных мероприятий и спортивных мероприятий города Барнаула;</w:t>
      </w:r>
    </w:p>
    <w:p w:rsidR="008C0554" w:rsidRPr="002049C4" w:rsidRDefault="00D36BE5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проведение зимнего спортивно сезона</w:t>
      </w:r>
      <w:r w:rsidR="008C0554">
        <w:t>;</w:t>
      </w:r>
    </w:p>
    <w:p w:rsidR="008C0554" w:rsidRPr="009028A8" w:rsidRDefault="008C0554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подготовку и проведение летнего спортивного сезона;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028A8">
        <w:t>организация проведения официальных муниципальных физкультурных мероприятий и спортивн</w:t>
      </w:r>
      <w:r>
        <w:t>ых мероприятий города Барнаула, посвященных Дню Победы и Дню России;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оказание содействия в подготовке и проведении на территории города всероссийских и международных спортивных и физкультурных мероприятий;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формирование проекта бюджета отрасли физической культуры и спорта на 2025 год и плановый период 2026 и 2027 годов.</w:t>
      </w:r>
    </w:p>
    <w:p w:rsidR="008C0554" w:rsidRPr="008C6821" w:rsidRDefault="008C0554" w:rsidP="008C0554">
      <w:pPr>
        <w:ind w:firstLine="709"/>
        <w:jc w:val="both"/>
      </w:pPr>
      <w:r w:rsidRPr="008C6821">
        <w:t xml:space="preserve"> Значения индикаторов муниципальной программы на первое полугодие </w:t>
      </w:r>
      <w:r>
        <w:t xml:space="preserve">    </w:t>
      </w:r>
      <w:r w:rsidRPr="008C6821">
        <w:t>2024 года не установлены.</w:t>
      </w:r>
    </w:p>
    <w:p w:rsidR="00F72DE6" w:rsidRDefault="00F72DE6" w:rsidP="00D36BE5">
      <w:pPr>
        <w:ind w:firstLine="708"/>
        <w:jc w:val="both"/>
      </w:pPr>
    </w:p>
    <w:p w:rsidR="00D36BE5" w:rsidRDefault="00D36BE5" w:rsidP="00D36BE5">
      <w:pPr>
        <w:ind w:firstLine="567"/>
        <w:jc w:val="both"/>
        <w:rPr>
          <w:b/>
          <w:szCs w:val="34"/>
        </w:rPr>
      </w:pPr>
      <w:r>
        <w:rPr>
          <w:b/>
          <w:szCs w:val="34"/>
        </w:rPr>
        <w:t xml:space="preserve">Документооборот </w:t>
      </w:r>
    </w:p>
    <w:p w:rsidR="00482CEF" w:rsidRPr="001A3627" w:rsidRDefault="00482CEF" w:rsidP="00482CEF">
      <w:pPr>
        <w:ind w:firstLine="567"/>
        <w:jc w:val="both"/>
      </w:pPr>
      <w:r w:rsidRPr="00FD2067">
        <w:t xml:space="preserve">За отчетный период общий документооборот комитета составил </w:t>
      </w:r>
      <w:r>
        <w:t xml:space="preserve">                      2038</w:t>
      </w:r>
      <w:r w:rsidRPr="00FD2067">
        <w:t xml:space="preserve"> документов, </w:t>
      </w:r>
      <w:r w:rsidRPr="001A3627">
        <w:t xml:space="preserve">что на 33 документа меньше, </w:t>
      </w:r>
      <w:r w:rsidRPr="00FD2067">
        <w:t xml:space="preserve">чем за аналогичный период </w:t>
      </w:r>
      <w:r>
        <w:t xml:space="preserve">            </w:t>
      </w:r>
      <w:r w:rsidRPr="00FD2067">
        <w:t xml:space="preserve">2023 </w:t>
      </w:r>
      <w:r w:rsidRPr="001A3627">
        <w:t>(2071 документ):</w:t>
      </w:r>
    </w:p>
    <w:p w:rsidR="00482CEF" w:rsidRPr="00FD2067" w:rsidRDefault="00482CEF" w:rsidP="00482CEF">
      <w:pPr>
        <w:ind w:firstLine="567"/>
        <w:jc w:val="both"/>
      </w:pPr>
      <w:r w:rsidRPr="00FD2067">
        <w:t xml:space="preserve">За 1 полугодие 2024 года в комитет поступило 974 входящих документа       </w:t>
      </w:r>
      <w:r>
        <w:t xml:space="preserve">    </w:t>
      </w:r>
      <w:proofErr w:type="gramStart"/>
      <w:r>
        <w:t xml:space="preserve">   </w:t>
      </w:r>
      <w:r w:rsidRPr="00FD2067">
        <w:t>(</w:t>
      </w:r>
      <w:proofErr w:type="gramEnd"/>
      <w:r w:rsidRPr="00FD2067">
        <w:t xml:space="preserve">1 </w:t>
      </w:r>
      <w:r>
        <w:t>полугодие</w:t>
      </w:r>
      <w:r w:rsidRPr="00FD2067">
        <w:t xml:space="preserve"> 2023 </w:t>
      </w:r>
      <w:r w:rsidRPr="001A3627">
        <w:t xml:space="preserve">года – 1179), </w:t>
      </w:r>
      <w:r w:rsidRPr="00FD2067">
        <w:t xml:space="preserve">из них на конец полугодия: поставлены на контроль – 81, не контрольные – </w:t>
      </w:r>
      <w:r>
        <w:t>628</w:t>
      </w:r>
      <w:r w:rsidRPr="00FD2067">
        <w:t>, сняты с контроля – 265.</w:t>
      </w:r>
    </w:p>
    <w:p w:rsidR="00482CEF" w:rsidRPr="001A3627" w:rsidRDefault="00482CEF" w:rsidP="00482CEF">
      <w:pPr>
        <w:ind w:firstLine="567"/>
        <w:jc w:val="both"/>
      </w:pPr>
      <w:r w:rsidRPr="00FD2067">
        <w:t xml:space="preserve">За 1 полугодие 2024 года было подготовлено 1064 исходящих документа </w:t>
      </w:r>
      <w:r>
        <w:t xml:space="preserve">      </w:t>
      </w:r>
      <w:proofErr w:type="gramStart"/>
      <w:r>
        <w:t xml:space="preserve">   </w:t>
      </w:r>
      <w:r w:rsidRPr="00FD2067">
        <w:t>(</w:t>
      </w:r>
      <w:proofErr w:type="gramEnd"/>
      <w:r w:rsidRPr="00FD2067">
        <w:t xml:space="preserve">за 1 полугодие 2023 </w:t>
      </w:r>
      <w:r w:rsidRPr="001A3627">
        <w:t xml:space="preserve">года – 892), из них </w:t>
      </w:r>
      <w:r w:rsidRPr="00FD2067">
        <w:t>на конец полугодия:</w:t>
      </w:r>
      <w:r>
        <w:t xml:space="preserve"> </w:t>
      </w:r>
      <w:r w:rsidRPr="00C55154">
        <w:t xml:space="preserve">контрольные – </w:t>
      </w:r>
      <w:r w:rsidRPr="001A3627">
        <w:t xml:space="preserve">11, </w:t>
      </w:r>
      <w:r>
        <w:t xml:space="preserve">      </w:t>
      </w:r>
      <w:r w:rsidRPr="001A3627">
        <w:t xml:space="preserve">не контрольные – 1016, сняты с контроля </w:t>
      </w:r>
      <w:r>
        <w:t>–</w:t>
      </w:r>
      <w:r w:rsidRPr="001A3627">
        <w:t xml:space="preserve"> 37.</w:t>
      </w:r>
    </w:p>
    <w:p w:rsidR="00482CEF" w:rsidRPr="00735BAA" w:rsidRDefault="00482CEF" w:rsidP="00482CEF">
      <w:pPr>
        <w:ind w:firstLine="567"/>
        <w:jc w:val="both"/>
      </w:pPr>
      <w:r w:rsidRPr="00E5306C">
        <w:t xml:space="preserve">За 1 полугодие 2024 года в комитет поступило 40 письменных </w:t>
      </w:r>
      <w:r w:rsidRPr="00735BAA">
        <w:t>обращени</w:t>
      </w:r>
      <w:r>
        <w:t>й</w:t>
      </w:r>
      <w:r w:rsidRPr="00735BAA">
        <w:t xml:space="preserve"> граждан, непосредственно в комитет – 8 (1 полугодие 2023 года – 11), из них </w:t>
      </w:r>
      <w:r>
        <w:t xml:space="preserve">-             </w:t>
      </w:r>
      <w:r w:rsidRPr="00735BAA">
        <w:t>1 коллективн</w:t>
      </w:r>
      <w:r>
        <w:t>ое</w:t>
      </w:r>
      <w:r w:rsidRPr="00735BAA">
        <w:t xml:space="preserve"> обращени</w:t>
      </w:r>
      <w:r>
        <w:t>е</w:t>
      </w:r>
      <w:r w:rsidRPr="00735BAA">
        <w:t xml:space="preserve">. </w:t>
      </w:r>
    </w:p>
    <w:p w:rsidR="00482CEF" w:rsidRPr="00E5306C" w:rsidRDefault="00482CEF" w:rsidP="00482CEF">
      <w:pPr>
        <w:ind w:firstLine="567"/>
        <w:jc w:val="both"/>
      </w:pPr>
      <w:r w:rsidRPr="00E5306C">
        <w:t>Устные обращения, рассмотренные на личном приеме председателя комитета – 1.</w:t>
      </w:r>
    </w:p>
    <w:p w:rsidR="00482CEF" w:rsidRPr="00E5306C" w:rsidRDefault="00482CEF" w:rsidP="00482CEF">
      <w:pPr>
        <w:ind w:firstLine="567"/>
        <w:jc w:val="both"/>
      </w:pPr>
      <w:r w:rsidRPr="00E5306C">
        <w:t>Результаты рассмотрения обращений граждан:</w:t>
      </w:r>
    </w:p>
    <w:p w:rsidR="00482CEF" w:rsidRPr="00E5306C" w:rsidRDefault="00482CEF" w:rsidP="00482CEF">
      <w:pPr>
        <w:ind w:firstLine="567"/>
        <w:jc w:val="both"/>
      </w:pPr>
      <w:r w:rsidRPr="00E5306C">
        <w:t xml:space="preserve">не поддержано – 0, </w:t>
      </w:r>
    </w:p>
    <w:p w:rsidR="00482CEF" w:rsidRPr="00E5306C" w:rsidRDefault="00482CEF" w:rsidP="00482CEF">
      <w:pPr>
        <w:ind w:firstLine="567"/>
        <w:jc w:val="both"/>
      </w:pPr>
      <w:r w:rsidRPr="00E5306C">
        <w:t xml:space="preserve">разъяснено – 35, </w:t>
      </w:r>
    </w:p>
    <w:p w:rsidR="00482CEF" w:rsidRPr="00E5306C" w:rsidRDefault="00482CEF" w:rsidP="00482CEF">
      <w:pPr>
        <w:ind w:firstLine="567"/>
        <w:jc w:val="both"/>
      </w:pPr>
      <w:r w:rsidRPr="00E5306C">
        <w:t>направлено на рассмотрение по компетенции – 4,</w:t>
      </w:r>
    </w:p>
    <w:p w:rsidR="00482CEF" w:rsidRPr="00E5306C" w:rsidRDefault="00482CEF" w:rsidP="00482CEF">
      <w:pPr>
        <w:ind w:firstLine="567"/>
        <w:jc w:val="both"/>
      </w:pPr>
      <w:r w:rsidRPr="00E5306C">
        <w:t>находятся на рассмотрении – 2.</w:t>
      </w:r>
    </w:p>
    <w:p w:rsidR="00482CEF" w:rsidRPr="00E5306C" w:rsidRDefault="00482CEF" w:rsidP="00482CEF">
      <w:pPr>
        <w:ind w:firstLine="567"/>
        <w:jc w:val="both"/>
      </w:pPr>
      <w:r w:rsidRPr="00E5306C">
        <w:t xml:space="preserve">Сроки рассмотрения обращений: </w:t>
      </w:r>
    </w:p>
    <w:p w:rsidR="00482CEF" w:rsidRPr="00E5306C" w:rsidRDefault="00482CEF" w:rsidP="00482CEF">
      <w:pPr>
        <w:ind w:firstLine="567"/>
        <w:jc w:val="both"/>
      </w:pPr>
      <w:r w:rsidRPr="00E5306C">
        <w:t>до 15 дней – 1</w:t>
      </w:r>
      <w:r>
        <w:t>9</w:t>
      </w:r>
      <w:r w:rsidRPr="00E5306C">
        <w:t xml:space="preserve"> обращений, </w:t>
      </w:r>
    </w:p>
    <w:p w:rsidR="00482CEF" w:rsidRPr="00E5306C" w:rsidRDefault="00482CEF" w:rsidP="00482CEF">
      <w:pPr>
        <w:ind w:firstLine="567"/>
        <w:jc w:val="both"/>
      </w:pPr>
      <w:r w:rsidRPr="00E5306C">
        <w:t xml:space="preserve">от 15 до 30 дней – </w:t>
      </w:r>
      <w:r>
        <w:t>20</w:t>
      </w:r>
      <w:r w:rsidRPr="00E5306C">
        <w:t xml:space="preserve"> обращений. </w:t>
      </w:r>
    </w:p>
    <w:p w:rsidR="00482CEF" w:rsidRPr="00E5306C" w:rsidRDefault="00482CEF" w:rsidP="00482CEF">
      <w:pPr>
        <w:ind w:firstLine="567"/>
        <w:jc w:val="both"/>
      </w:pPr>
      <w:r w:rsidRPr="00E5306C">
        <w:t xml:space="preserve">Исполнительская дисциплина составила 100 %. </w:t>
      </w:r>
    </w:p>
    <w:p w:rsidR="00482CEF" w:rsidRPr="00E5306C" w:rsidRDefault="00482CEF" w:rsidP="00482CEF">
      <w:pPr>
        <w:ind w:firstLine="567"/>
        <w:jc w:val="both"/>
      </w:pPr>
      <w:r w:rsidRPr="00E5306C">
        <w:rPr>
          <w:szCs w:val="34"/>
        </w:rPr>
        <w:t>Тематическая структура обращений граждан</w:t>
      </w:r>
      <w:r w:rsidRPr="00E5306C">
        <w:t>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75"/>
        <w:gridCol w:w="7542"/>
        <w:gridCol w:w="1701"/>
      </w:tblGrid>
      <w:tr w:rsidR="00482CEF" w:rsidRPr="00842BD6" w:rsidTr="00482CEF">
        <w:tc>
          <w:tcPr>
            <w:tcW w:w="675" w:type="dxa"/>
          </w:tcPr>
          <w:p w:rsidR="00482CEF" w:rsidRPr="00842BD6" w:rsidRDefault="00482CEF" w:rsidP="001024E2">
            <w:pPr>
              <w:jc w:val="center"/>
            </w:pPr>
            <w:r w:rsidRPr="00842BD6">
              <w:t>№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center"/>
            </w:pPr>
            <w:r w:rsidRPr="00842BD6">
              <w:t>Тематика</w:t>
            </w:r>
          </w:p>
        </w:tc>
        <w:tc>
          <w:tcPr>
            <w:tcW w:w="1701" w:type="dxa"/>
          </w:tcPr>
          <w:p w:rsidR="00482CEF" w:rsidRPr="00842BD6" w:rsidRDefault="00482CEF" w:rsidP="001024E2">
            <w:pPr>
              <w:jc w:val="center"/>
            </w:pPr>
            <w:r w:rsidRPr="00842BD6">
              <w:t>Количество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Городской, сельский и междугородний пассажирский транспорт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2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 xml:space="preserve">Деятельность некоммерческих организаций (общественных организаций, политических партий, общественных </w:t>
            </w:r>
            <w:r w:rsidRPr="00842BD6">
              <w:lastRenderedPageBreak/>
              <w:t>движений, религиозных организаций, ассоциаций (союзов), казачьих обществ, общин коренных малочисленных народов Российской Федерации, фондов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lastRenderedPageBreak/>
              <w:t>2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3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Доступность физической культуры и спорта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3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4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Здравоохранение. Физическая культура и спорт. Туризм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5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Массовый спорт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12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6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7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Молодежная политика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2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8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2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9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Популяризация и пропаганда физической культуры и спорта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8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10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11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  <w:rPr>
                <w:rStyle w:val="cfs"/>
              </w:rPr>
            </w:pPr>
            <w:r w:rsidRPr="00842BD6">
              <w:t>Результаты рассмотрения обращения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12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rPr>
                <w:rStyle w:val="cfs"/>
              </w:rPr>
              <w:t>Реклама (за исключением рекламы в СМИ)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2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13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Социальная сфера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14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15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Требования и стандарты в сфере физической культуры и спорта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</w:t>
            </w:r>
          </w:p>
        </w:tc>
      </w:tr>
      <w:tr w:rsidR="00482CEF" w:rsidRPr="00842BD6" w:rsidTr="00482CEF">
        <w:tc>
          <w:tcPr>
            <w:tcW w:w="675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16</w:t>
            </w:r>
          </w:p>
        </w:tc>
        <w:tc>
          <w:tcPr>
            <w:tcW w:w="7542" w:type="dxa"/>
          </w:tcPr>
          <w:p w:rsidR="00482CEF" w:rsidRPr="00842BD6" w:rsidRDefault="00482CEF" w:rsidP="001024E2">
            <w:pPr>
              <w:jc w:val="both"/>
            </w:pPr>
            <w:r w:rsidRPr="00842BD6">
              <w:t>Уборка снега, опавших листьев, мусора и посторонних предметов</w:t>
            </w:r>
          </w:p>
        </w:tc>
        <w:tc>
          <w:tcPr>
            <w:tcW w:w="1701" w:type="dxa"/>
            <w:vAlign w:val="center"/>
          </w:tcPr>
          <w:p w:rsidR="00482CEF" w:rsidRPr="00842BD6" w:rsidRDefault="00482CEF" w:rsidP="001024E2">
            <w:pPr>
              <w:jc w:val="center"/>
            </w:pPr>
            <w:r w:rsidRPr="00842BD6">
              <w:t>2</w:t>
            </w:r>
          </w:p>
        </w:tc>
      </w:tr>
    </w:tbl>
    <w:p w:rsidR="00482CEF" w:rsidRPr="00842BD6" w:rsidRDefault="00482CEF" w:rsidP="00482CEF">
      <w:pPr>
        <w:ind w:left="142"/>
        <w:jc w:val="both"/>
      </w:pPr>
    </w:p>
    <w:p w:rsidR="00482CEF" w:rsidRPr="00842BD6" w:rsidRDefault="00482CEF" w:rsidP="00482CEF">
      <w:pPr>
        <w:ind w:firstLine="709"/>
        <w:jc w:val="both"/>
      </w:pPr>
      <w:r w:rsidRPr="00842BD6">
        <w:t xml:space="preserve">Также, ежеквартально в целях осуществления правового обеспечения деятельности органов МСУ ведется подготовка информации о количестве запросов правоохранительных органов. </w:t>
      </w:r>
    </w:p>
    <w:p w:rsidR="00482CEF" w:rsidRPr="00EE4AEF" w:rsidRDefault="00482CEF" w:rsidP="00482CEF">
      <w:pPr>
        <w:tabs>
          <w:tab w:val="left" w:leader="underscore" w:pos="10205"/>
        </w:tabs>
        <w:ind w:firstLine="709"/>
        <w:jc w:val="both"/>
      </w:pPr>
      <w:r w:rsidRPr="00EE4AEF">
        <w:t>За 1 полугодие 2024 года в комитет поступило 19 запросов (обращений) органов прокуратуры (14 поступили через канцелярию администрацию города, 5 – непосредственно в комитет).</w:t>
      </w:r>
    </w:p>
    <w:p w:rsidR="00482CEF" w:rsidRPr="00EE4AEF" w:rsidRDefault="00482CEF" w:rsidP="00482CEF">
      <w:pPr>
        <w:autoSpaceDE w:val="0"/>
        <w:autoSpaceDN w:val="0"/>
        <w:adjustRightInd w:val="0"/>
        <w:ind w:firstLine="709"/>
        <w:jc w:val="both"/>
      </w:pPr>
      <w:r>
        <w:t xml:space="preserve">А за 1 полугодие </w:t>
      </w:r>
      <w:r w:rsidRPr="00EE4AEF">
        <w:t>202</w:t>
      </w:r>
      <w:r>
        <w:t>3</w:t>
      </w:r>
      <w:r w:rsidRPr="00EE4AEF">
        <w:t xml:space="preserve"> года в Комитет поступило 4 запроса (обращения) органов прокуратуры (поступили непосредственно в Комитет).</w:t>
      </w:r>
    </w:p>
    <w:p w:rsidR="00482CEF" w:rsidRPr="00EE4AEF" w:rsidRDefault="00482CEF" w:rsidP="00482CEF">
      <w:pPr>
        <w:autoSpaceDE w:val="0"/>
        <w:autoSpaceDN w:val="0"/>
        <w:adjustRightInd w:val="0"/>
        <w:ind w:firstLine="709"/>
        <w:jc w:val="both"/>
      </w:pPr>
      <w:r w:rsidRPr="00EE4AEF">
        <w:t xml:space="preserve">Таким образом, по сравнению с аналогичным периодом 2023 года количество запросов из органов прокуратуры увеличилось на 25 % (в части поступивших непосредственно в комитет).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2254"/>
        <w:gridCol w:w="2697"/>
      </w:tblGrid>
      <w:tr w:rsidR="00482CEF" w:rsidRPr="00EE4AEF" w:rsidTr="00482CEF">
        <w:trPr>
          <w:trHeight w:val="301"/>
          <w:jc w:val="center"/>
        </w:trPr>
        <w:tc>
          <w:tcPr>
            <w:tcW w:w="4967" w:type="dxa"/>
            <w:vMerge w:val="restart"/>
          </w:tcPr>
          <w:p w:rsidR="00482CEF" w:rsidRPr="00EE4AEF" w:rsidRDefault="00482CEF" w:rsidP="001024E2">
            <w:pPr>
              <w:ind w:right="-1" w:firstLine="709"/>
              <w:contextualSpacing/>
              <w:jc w:val="center"/>
            </w:pPr>
            <w:r w:rsidRPr="00EE4AEF">
              <w:rPr>
                <w:rFonts w:eastAsia="Calibri"/>
                <w:lang w:eastAsia="en-US"/>
              </w:rPr>
              <w:t xml:space="preserve"> </w:t>
            </w:r>
          </w:p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Наименование органа прокуратуры</w:t>
            </w:r>
          </w:p>
        </w:tc>
        <w:tc>
          <w:tcPr>
            <w:tcW w:w="4951" w:type="dxa"/>
            <w:gridSpan w:val="2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Количество поступивших обращений (запросов и писем о перенаправлении обращений по подведомственности)</w:t>
            </w:r>
          </w:p>
        </w:tc>
      </w:tr>
      <w:tr w:rsidR="00482CEF" w:rsidRPr="00EE4AEF" w:rsidTr="00482CEF">
        <w:trPr>
          <w:trHeight w:val="374"/>
          <w:jc w:val="center"/>
        </w:trPr>
        <w:tc>
          <w:tcPr>
            <w:tcW w:w="4967" w:type="dxa"/>
            <w:vMerge/>
          </w:tcPr>
          <w:p w:rsidR="00482CEF" w:rsidRPr="00EE4AEF" w:rsidRDefault="00482CEF" w:rsidP="001024E2">
            <w:pPr>
              <w:ind w:right="-1" w:firstLine="709"/>
              <w:contextualSpacing/>
              <w:jc w:val="center"/>
            </w:pPr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За 1 полугодие 2023 года</w:t>
            </w:r>
          </w:p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lastRenderedPageBreak/>
              <w:t>(поступили непосредственно в Комитет)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lastRenderedPageBreak/>
              <w:t>За 1 полугодие 2024 года</w:t>
            </w:r>
          </w:p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lastRenderedPageBreak/>
              <w:t>(поступили непосредственно в Комитет)</w:t>
            </w:r>
          </w:p>
        </w:tc>
      </w:tr>
      <w:tr w:rsidR="00482CEF" w:rsidRPr="00EE4AEF" w:rsidTr="00482CEF">
        <w:trPr>
          <w:trHeight w:val="337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  <w:jc w:val="both"/>
            </w:pPr>
            <w:r w:rsidRPr="00EE4AEF">
              <w:lastRenderedPageBreak/>
              <w:t xml:space="preserve">Прокуратура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1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3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 xml:space="preserve">Прокуратура Центрального района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2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 xml:space="preserve">Прокуратура Октябрьского района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 xml:space="preserve">Прокуратура Индустриального района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1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 xml:space="preserve">Прокуратура Железнодорожного района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1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 xml:space="preserve">Прокуратура Ленинского района </w:t>
            </w:r>
            <w:proofErr w:type="spellStart"/>
            <w:r w:rsidRPr="00EE4AEF">
              <w:t>г.Барнаула</w:t>
            </w:r>
            <w:proofErr w:type="spellEnd"/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1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</w:pPr>
            <w:r w:rsidRPr="00EE4AEF">
              <w:t>Прокуратура Алтайского края</w:t>
            </w:r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-</w:t>
            </w:r>
          </w:p>
        </w:tc>
      </w:tr>
      <w:tr w:rsidR="00482CEF" w:rsidRPr="00EE4AEF" w:rsidTr="00482CEF">
        <w:trPr>
          <w:trHeight w:val="316"/>
          <w:jc w:val="center"/>
        </w:trPr>
        <w:tc>
          <w:tcPr>
            <w:tcW w:w="4967" w:type="dxa"/>
          </w:tcPr>
          <w:p w:rsidR="00482CEF" w:rsidRPr="00EE4AEF" w:rsidRDefault="00482CEF" w:rsidP="001024E2">
            <w:pPr>
              <w:ind w:right="-1"/>
              <w:contextualSpacing/>
              <w:rPr>
                <w:b/>
              </w:rPr>
            </w:pPr>
            <w:r w:rsidRPr="00EE4AEF">
              <w:rPr>
                <w:b/>
              </w:rPr>
              <w:t>Итого:</w:t>
            </w:r>
          </w:p>
        </w:tc>
        <w:tc>
          <w:tcPr>
            <w:tcW w:w="2254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  <w:rPr>
                <w:b/>
              </w:rPr>
            </w:pPr>
            <w:r w:rsidRPr="00EE4AEF">
              <w:rPr>
                <w:b/>
              </w:rPr>
              <w:t>4</w:t>
            </w:r>
          </w:p>
        </w:tc>
        <w:tc>
          <w:tcPr>
            <w:tcW w:w="2697" w:type="dxa"/>
          </w:tcPr>
          <w:p w:rsidR="00482CEF" w:rsidRPr="00EE4AEF" w:rsidRDefault="00482CEF" w:rsidP="001024E2">
            <w:pPr>
              <w:ind w:right="-1"/>
              <w:contextualSpacing/>
              <w:jc w:val="center"/>
              <w:rPr>
                <w:b/>
              </w:rPr>
            </w:pPr>
            <w:r w:rsidRPr="00EE4AEF">
              <w:rPr>
                <w:b/>
              </w:rPr>
              <w:t>5</w:t>
            </w:r>
          </w:p>
        </w:tc>
      </w:tr>
    </w:tbl>
    <w:p w:rsidR="00482CEF" w:rsidRDefault="00482CEF" w:rsidP="00482CEF">
      <w:pPr>
        <w:ind w:firstLine="709"/>
        <w:contextualSpacing/>
        <w:jc w:val="both"/>
      </w:pPr>
    </w:p>
    <w:p w:rsidR="00482CEF" w:rsidRPr="00EE4AEF" w:rsidRDefault="00482CEF" w:rsidP="00482CEF">
      <w:pPr>
        <w:ind w:firstLine="709"/>
        <w:jc w:val="both"/>
      </w:pPr>
      <w:r>
        <w:t>З</w:t>
      </w:r>
      <w:r w:rsidRPr="00EE4AEF">
        <w:t xml:space="preserve">а 1 полугодие 2024 года в комитет поступило 5 запросов </w:t>
      </w:r>
      <w:proofErr w:type="gramStart"/>
      <w:r w:rsidRPr="00EE4AEF">
        <w:t>от  правоохранительных</w:t>
      </w:r>
      <w:proofErr w:type="gramEnd"/>
      <w:r w:rsidRPr="00EE4AEF">
        <w:t xml:space="preserve"> органов, из них: органы внутренних дел – 3 запроса (поступили через канцелярию администрацию города), Следственное управление Следственного комитета России по Алтайскому краю – 1 запрос (поступил непосредственно в комитет), ФСБ – 1 запрос (поступил через канцелярию администрацию города).  </w:t>
      </w:r>
    </w:p>
    <w:p w:rsidR="00482CEF" w:rsidRPr="00EE4AEF" w:rsidRDefault="00482CEF" w:rsidP="00482CEF">
      <w:pPr>
        <w:ind w:firstLine="709"/>
        <w:jc w:val="both"/>
      </w:pPr>
      <w:r w:rsidRPr="00EE4AEF">
        <w:t xml:space="preserve">В 1 полугодии 2023 года непосредственно в Комитет запросов </w:t>
      </w:r>
      <w:proofErr w:type="gramStart"/>
      <w:r w:rsidRPr="00EE4AEF">
        <w:t>от  правоохранительных</w:t>
      </w:r>
      <w:proofErr w:type="gramEnd"/>
      <w:r w:rsidRPr="00EE4AEF">
        <w:t xml:space="preserve"> органов не поступало.</w:t>
      </w:r>
    </w:p>
    <w:p w:rsidR="00482CEF" w:rsidRDefault="00482CEF" w:rsidP="00482CEF">
      <w:pPr>
        <w:ind w:firstLine="709"/>
        <w:jc w:val="center"/>
        <w:rPr>
          <w:b/>
        </w:rPr>
      </w:pPr>
    </w:p>
    <w:p w:rsidR="00482CEF" w:rsidRPr="00842BD6" w:rsidRDefault="00482CEF" w:rsidP="002979BA">
      <w:pPr>
        <w:ind w:firstLine="709"/>
        <w:rPr>
          <w:b/>
        </w:rPr>
      </w:pPr>
      <w:r w:rsidRPr="00842BD6">
        <w:rPr>
          <w:b/>
        </w:rPr>
        <w:t>Нормотворческая деятельность</w:t>
      </w:r>
    </w:p>
    <w:p w:rsidR="00482CEF" w:rsidRPr="00842BD6" w:rsidRDefault="00482CEF" w:rsidP="00482CEF">
      <w:pPr>
        <w:ind w:firstLine="709"/>
        <w:jc w:val="both"/>
      </w:pPr>
      <w:r w:rsidRPr="00842BD6">
        <w:t>Во исполнение постановления администрации города Барнаула от 08.08.2018 № 04-пг 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края», ежемесячно комитетом сдается отчет по принятым нормативно правовым актам, для включения их в регистр МПА Алтайского края.</w:t>
      </w:r>
    </w:p>
    <w:p w:rsidR="00482CEF" w:rsidRPr="00F54933" w:rsidRDefault="00482CEF" w:rsidP="00482CEF">
      <w:pPr>
        <w:ind w:firstLine="567"/>
        <w:jc w:val="both"/>
        <w:rPr>
          <w:szCs w:val="34"/>
        </w:rPr>
      </w:pPr>
      <w:r w:rsidRPr="00F54933">
        <w:t>В 1 полугодии 2024 года комитетом принято 8</w:t>
      </w:r>
      <w:r>
        <w:t>4</w:t>
      </w:r>
      <w:r w:rsidRPr="00F54933">
        <w:t xml:space="preserve"> муниципальных правовых акта – приказов комитета, из них 11 нормативно-правовых, </w:t>
      </w:r>
      <w:r w:rsidRPr="00F54933">
        <w:rPr>
          <w:szCs w:val="34"/>
        </w:rPr>
        <w:t>и 12 распоряжений по основной деятельности.</w:t>
      </w:r>
    </w:p>
    <w:p w:rsidR="00482CEF" w:rsidRPr="00F54933" w:rsidRDefault="00482CEF" w:rsidP="00482CEF">
      <w:pPr>
        <w:ind w:firstLine="567"/>
        <w:jc w:val="both"/>
      </w:pPr>
      <w:r w:rsidRPr="00F54933">
        <w:rPr>
          <w:szCs w:val="34"/>
        </w:rPr>
        <w:t xml:space="preserve">Также за данный период в целях совершенствования правового регулирования и во исполнение Планов правотворческой деятельности администрации города на I полугодие 2024 года было подготовлено и принято </w:t>
      </w:r>
      <w:r w:rsidRPr="00F54933">
        <w:t>9 городских муниципальных нормативных правовых актов, из них:</w:t>
      </w:r>
      <w:r>
        <w:t xml:space="preserve"> </w:t>
      </w:r>
      <w:r w:rsidRPr="00F54933">
        <w:t>7 – постановления администрации города, 2 – решения городской Думы.</w:t>
      </w:r>
    </w:p>
    <w:p w:rsidR="00482CEF" w:rsidRPr="00842BD6" w:rsidRDefault="00482CEF" w:rsidP="00482CEF">
      <w:pPr>
        <w:ind w:firstLine="567"/>
        <w:jc w:val="both"/>
        <w:rPr>
          <w:b/>
          <w:szCs w:val="34"/>
        </w:rPr>
      </w:pPr>
      <w:r w:rsidRPr="00842BD6">
        <w:rPr>
          <w:b/>
          <w:szCs w:val="34"/>
        </w:rPr>
        <w:t xml:space="preserve">Присвоение спортивных разрядов </w:t>
      </w:r>
    </w:p>
    <w:p w:rsidR="00482CEF" w:rsidRPr="00612B21" w:rsidRDefault="00482CEF" w:rsidP="00482CEF">
      <w:pPr>
        <w:ind w:firstLine="567"/>
        <w:jc w:val="both"/>
      </w:pPr>
      <w:r w:rsidRPr="001A3627">
        <w:t xml:space="preserve">Согласно утвержденному плану в 1 полугодии 2024 года было проведено 10 заседаний рабочей группы по присвоению/подтверждению спортивных разрядов и </w:t>
      </w:r>
      <w:r w:rsidRPr="001A3627">
        <w:lastRenderedPageBreak/>
        <w:t xml:space="preserve">судейских категорий. </w:t>
      </w:r>
      <w:r w:rsidRPr="002B5B70">
        <w:t>За этот период было подано 26</w:t>
      </w:r>
      <w:r>
        <w:t>5</w:t>
      </w:r>
      <w:r w:rsidRPr="002B5B70">
        <w:t xml:space="preserve"> заяв</w:t>
      </w:r>
      <w:r>
        <w:t>о</w:t>
      </w:r>
      <w:r w:rsidRPr="002B5B70">
        <w:t>к от спортивных организаций и федераций на присвоение/подтверждение спортивных разрядов на 1</w:t>
      </w:r>
      <w:r>
        <w:t>193</w:t>
      </w:r>
      <w:r w:rsidRPr="002B5B70">
        <w:t xml:space="preserve"> человека (за 2023 год было подано 227 заявок </w:t>
      </w:r>
      <w:r w:rsidRPr="00612B21">
        <w:t>на 1188 человек).</w:t>
      </w:r>
    </w:p>
    <w:p w:rsidR="00482CEF" w:rsidRPr="00612B21" w:rsidRDefault="00482CEF" w:rsidP="00482CEF">
      <w:pPr>
        <w:ind w:firstLine="567"/>
        <w:jc w:val="both"/>
      </w:pPr>
      <w:r w:rsidRPr="00612B21">
        <w:t>За 1 полугодие 2024 года было подано 4</w:t>
      </w:r>
      <w:r>
        <w:t>6</w:t>
      </w:r>
      <w:r w:rsidRPr="00612B21">
        <w:t xml:space="preserve"> заяв</w:t>
      </w:r>
      <w:r>
        <w:t>о</w:t>
      </w:r>
      <w:r w:rsidRPr="00612B21">
        <w:t>к на присвоение судейских категорий от спортивных организаций и федераций на 1</w:t>
      </w:r>
      <w:r>
        <w:t>99</w:t>
      </w:r>
      <w:r w:rsidRPr="00612B21">
        <w:t xml:space="preserve"> человек (2023 год – 57 заявок на 255 человек).</w:t>
      </w:r>
    </w:p>
    <w:p w:rsidR="00482CEF" w:rsidRPr="005A0306" w:rsidRDefault="00482CEF" w:rsidP="00482CEF">
      <w:pPr>
        <w:rPr>
          <w:color w:val="FF0000"/>
        </w:rPr>
      </w:pPr>
    </w:p>
    <w:p w:rsidR="00206040" w:rsidRDefault="00206040" w:rsidP="00D36BE5">
      <w:pPr>
        <w:ind w:firstLine="567"/>
        <w:jc w:val="both"/>
      </w:pPr>
    </w:p>
    <w:p w:rsidR="00A63217" w:rsidRDefault="00A63217" w:rsidP="00D36BE5">
      <w:pPr>
        <w:ind w:firstLine="567"/>
        <w:jc w:val="both"/>
      </w:pPr>
    </w:p>
    <w:p w:rsidR="00A63217" w:rsidRDefault="00A63217" w:rsidP="002979BA">
      <w:pPr>
        <w:ind w:firstLine="708"/>
        <w:jc w:val="both"/>
        <w:rPr>
          <w:b/>
        </w:rPr>
      </w:pPr>
      <w:r w:rsidRPr="00A63217">
        <w:rPr>
          <w:b/>
        </w:rPr>
        <w:t>Организационная работа</w:t>
      </w:r>
    </w:p>
    <w:p w:rsidR="00206040" w:rsidRDefault="00206040" w:rsidP="00206040">
      <w:pPr>
        <w:autoSpaceDE w:val="0"/>
        <w:autoSpaceDN w:val="0"/>
        <w:adjustRightInd w:val="0"/>
        <w:ind w:firstLine="709"/>
        <w:jc w:val="both"/>
      </w:pPr>
      <w:r>
        <w:t>В январе была завершена сдача статистической отчетности, подведены итоги выполнения муниципальной программы, в том числе в сравнении по районам города. Выполнены все индикаторы программы. Установлены новые значения на 2024 год и плановый период, с учетом письма министерства спорта России, где установлен незначительный рост показателей по систематически занимающимся физической культурой и спортом по сравнению с ранее установленными.</w:t>
      </w:r>
    </w:p>
    <w:p w:rsidR="00435A97" w:rsidRPr="00BC649E" w:rsidRDefault="00435A97" w:rsidP="00D36BE5">
      <w:pPr>
        <w:ind w:firstLine="567"/>
        <w:jc w:val="both"/>
      </w:pPr>
      <w:r w:rsidRPr="00BC649E">
        <w:t>В</w:t>
      </w:r>
      <w:r w:rsidR="00BC649E">
        <w:t xml:space="preserve"> 1 </w:t>
      </w:r>
      <w:r w:rsidR="00482CEF">
        <w:t>полугодии</w:t>
      </w:r>
      <w:r w:rsidR="00BC649E">
        <w:t xml:space="preserve"> 2024 года проведено </w:t>
      </w:r>
      <w:r w:rsidR="00482CEF">
        <w:t>64</w:t>
      </w:r>
      <w:r w:rsidR="00BC649E">
        <w:t xml:space="preserve"> совещани</w:t>
      </w:r>
      <w:r w:rsidR="00482CEF">
        <w:t>я</w:t>
      </w:r>
      <w:r w:rsidR="00BC649E">
        <w:t xml:space="preserve"> по основной деят</w:t>
      </w:r>
      <w:r w:rsidR="00482CEF">
        <w:t>ельности комитета, в том числе 10</w:t>
      </w:r>
      <w:r w:rsidR="00BC649E">
        <w:t xml:space="preserve"> часов контроля. </w:t>
      </w:r>
      <w:r w:rsidRPr="00BC649E">
        <w:t xml:space="preserve"> </w:t>
      </w:r>
    </w:p>
    <w:p w:rsidR="00206040" w:rsidRDefault="00206040" w:rsidP="00206040">
      <w:pPr>
        <w:ind w:firstLine="567"/>
        <w:jc w:val="both"/>
      </w:pPr>
      <w:r>
        <w:t xml:space="preserve">Особое внимание было уделено выполнению поручений Президента Российской Федерации. На контроле в комитете 13 поручений, по 12 из которых комитет является ответственным исполнителем. </w:t>
      </w:r>
    </w:p>
    <w:p w:rsidR="007E4300" w:rsidRDefault="007E4300" w:rsidP="00206040">
      <w:pPr>
        <w:ind w:firstLine="567"/>
        <w:jc w:val="both"/>
      </w:pPr>
    </w:p>
    <w:p w:rsidR="00D36BE5" w:rsidRDefault="007E4300" w:rsidP="00D36BE5">
      <w:pPr>
        <w:ind w:firstLine="567"/>
        <w:jc w:val="both"/>
      </w:pPr>
      <w:r w:rsidRPr="007E4300">
        <w:rPr>
          <w:b/>
        </w:rPr>
        <w:t xml:space="preserve">Спортивно-массовая работа 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  <w:rPr>
          <w:spacing w:val="-3"/>
        </w:rPr>
      </w:pPr>
      <w:bookmarkStart w:id="0" w:name="_GoBack"/>
      <w:r w:rsidRPr="00F42741">
        <w:t xml:space="preserve">В первом полугодии 2024 года </w:t>
      </w:r>
      <w:r>
        <w:t xml:space="preserve">комитетом организовано и проведено </w:t>
      </w:r>
      <w:r w:rsidRPr="00F42741">
        <w:t>на территории города проведено</w:t>
      </w:r>
      <w:r>
        <w:t xml:space="preserve"> </w:t>
      </w:r>
      <w:r w:rsidRPr="00F42741">
        <w:t>216</w:t>
      </w:r>
      <w:r w:rsidRPr="00F42741">
        <w:rPr>
          <w:b/>
        </w:rPr>
        <w:t xml:space="preserve"> </w:t>
      </w:r>
      <w:r w:rsidRPr="00F42741">
        <w:t xml:space="preserve">физкультурных и спортивных мероприятий, в том числе 7 спартакиад, 17 физкультурных мероприятий. </w:t>
      </w:r>
      <w:r w:rsidRPr="00F42741">
        <w:rPr>
          <w:spacing w:val="-3"/>
        </w:rPr>
        <w:t xml:space="preserve"> </w:t>
      </w:r>
      <w:r>
        <w:rPr>
          <w:spacing w:val="-3"/>
        </w:rPr>
        <w:t>Охват участников составил более 20 тыс. человек.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>
        <w:t>Особое внимание было уделено подготовке и проведению всероссийских и международных физкультурных и спортивных мероприятий:</w:t>
      </w:r>
    </w:p>
    <w:p w:rsidR="002979BA" w:rsidRPr="00F03829" w:rsidRDefault="002979BA" w:rsidP="002979BA">
      <w:pPr>
        <w:ind w:firstLine="709"/>
        <w:jc w:val="both"/>
      </w:pPr>
      <w:r w:rsidRPr="00F03829">
        <w:rPr>
          <w:lang w:val="en-US"/>
        </w:rPr>
        <w:t>XV</w:t>
      </w:r>
      <w:r w:rsidRPr="00F03829">
        <w:t xml:space="preserve"> Всероссийские соревнования по греко-римской борьбе памяти Заслуженного работника физической культуры и спорта </w:t>
      </w:r>
      <w:proofErr w:type="spellStart"/>
      <w:r w:rsidRPr="00F03829">
        <w:t>Н.И.Щеклеина</w:t>
      </w:r>
      <w:proofErr w:type="spellEnd"/>
      <w:r w:rsidRPr="00F03829">
        <w:t xml:space="preserve"> (09.04);</w:t>
      </w:r>
    </w:p>
    <w:p w:rsidR="002979BA" w:rsidRPr="00F03829" w:rsidRDefault="002979BA" w:rsidP="002979BA">
      <w:pPr>
        <w:ind w:firstLine="709"/>
        <w:jc w:val="both"/>
      </w:pPr>
      <w:r w:rsidRPr="00F03829">
        <w:t>Легкоатлетическое спортивно-массовое мероприятие «Пожарный забег «</w:t>
      </w:r>
      <w:r w:rsidRPr="00F03829">
        <w:rPr>
          <w:lang w:val="en-US"/>
        </w:rPr>
        <w:t>Z</w:t>
      </w:r>
      <w:r w:rsidRPr="00F03829">
        <w:t>А НАШУ ПОБЕДУ», посвященный празднованию Дня победы советского народа в великой Отечественной войне 1941-1945 гг. и 375-ой годовщине образования пожарной охраны России (30.04);</w:t>
      </w:r>
    </w:p>
    <w:p w:rsidR="002979BA" w:rsidRPr="00F03829" w:rsidRDefault="002979BA" w:rsidP="002979BA">
      <w:pPr>
        <w:ind w:firstLine="709"/>
        <w:jc w:val="both"/>
      </w:pPr>
      <w:r w:rsidRPr="00F03829">
        <w:t>Спартакиада налоговых органов Сибирского федерального округа (14.05);</w:t>
      </w:r>
    </w:p>
    <w:p w:rsidR="002979BA" w:rsidRPr="00F03829" w:rsidRDefault="002979BA" w:rsidP="002979BA">
      <w:pPr>
        <w:ind w:firstLine="709"/>
        <w:jc w:val="both"/>
      </w:pPr>
      <w:r w:rsidRPr="00F03829">
        <w:t xml:space="preserve">XV </w:t>
      </w:r>
      <w:proofErr w:type="spellStart"/>
      <w:r w:rsidRPr="00F03829">
        <w:t>Международый</w:t>
      </w:r>
      <w:proofErr w:type="spellEnd"/>
      <w:r w:rsidRPr="00F03829">
        <w:t xml:space="preserve"> фестиваль единоборств «Детям планеты – Мир без наркотиков» и Х Олимпиада боевых искусств (17-19.05);</w:t>
      </w:r>
    </w:p>
    <w:p w:rsidR="002979BA" w:rsidRPr="00F03829" w:rsidRDefault="002979BA" w:rsidP="002979BA">
      <w:pPr>
        <w:ind w:firstLine="709"/>
        <w:jc w:val="both"/>
      </w:pPr>
      <w:r w:rsidRPr="00F03829">
        <w:t>Всероссийский полумарафон «</w:t>
      </w:r>
      <w:proofErr w:type="spellStart"/>
      <w:r w:rsidRPr="00F03829">
        <w:t>Забег.РФ</w:t>
      </w:r>
      <w:proofErr w:type="spellEnd"/>
      <w:r w:rsidRPr="00F03829">
        <w:t>» (19.05);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 w:rsidRPr="00F03829">
        <w:rPr>
          <w:lang w:val="en-US"/>
        </w:rPr>
        <w:t>XX</w:t>
      </w:r>
      <w:r w:rsidRPr="00F03829">
        <w:t xml:space="preserve"> международный Фестиваль дзюдо памяти </w:t>
      </w:r>
      <w:proofErr w:type="spellStart"/>
      <w:r w:rsidRPr="00F03829">
        <w:t>В.Шкалова</w:t>
      </w:r>
      <w:proofErr w:type="spellEnd"/>
      <w:r w:rsidRPr="00F03829">
        <w:t xml:space="preserve"> в Сибирском федеральном округе (25-26.05)</w:t>
      </w:r>
      <w:r>
        <w:t>;</w:t>
      </w:r>
    </w:p>
    <w:p w:rsidR="002979BA" w:rsidRPr="00F03829" w:rsidRDefault="002979BA" w:rsidP="002979BA">
      <w:pPr>
        <w:ind w:firstLine="709"/>
        <w:jc w:val="both"/>
      </w:pPr>
      <w:r w:rsidRPr="00F03829">
        <w:t>Международн</w:t>
      </w:r>
      <w:r>
        <w:t>ый</w:t>
      </w:r>
      <w:r w:rsidRPr="00F03829">
        <w:t xml:space="preserve"> культурно-спортивн</w:t>
      </w:r>
      <w:r>
        <w:t xml:space="preserve">ый </w:t>
      </w:r>
      <w:r w:rsidRPr="00F03829">
        <w:t>фестивал</w:t>
      </w:r>
      <w:r>
        <w:t>ь</w:t>
      </w:r>
      <w:r w:rsidRPr="00F03829">
        <w:t xml:space="preserve"> «АЛТАЙСКАЯ РЕГАТА. ФЕСТИВАЛЬ ДРАКОНОВ» (29-30.06);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>
        <w:t>Э</w:t>
      </w:r>
      <w:r w:rsidRPr="00F03829">
        <w:t>тап Международного ралли «Шелковый путь»</w:t>
      </w:r>
      <w:r>
        <w:t xml:space="preserve">. </w:t>
      </w:r>
      <w:r w:rsidRPr="00F03829">
        <w:t xml:space="preserve"> </w:t>
      </w:r>
    </w:p>
    <w:p w:rsidR="002979BA" w:rsidRDefault="002979BA" w:rsidP="002979BA">
      <w:pPr>
        <w:ind w:firstLine="708"/>
        <w:jc w:val="both"/>
      </w:pPr>
      <w:r w:rsidRPr="00D03CCA">
        <w:lastRenderedPageBreak/>
        <w:t xml:space="preserve">В целях вовлечения учащихся муниципальных общеобразовательных учреждений к систематическим занятиям физической культурой и </w:t>
      </w:r>
      <w:proofErr w:type="gramStart"/>
      <w:r w:rsidRPr="00D03CCA">
        <w:t xml:space="preserve">спортом  </w:t>
      </w:r>
      <w:r w:rsidRPr="00D03CCA">
        <w:br/>
        <w:t>в</w:t>
      </w:r>
      <w:proofErr w:type="gramEnd"/>
      <w:r w:rsidRPr="00D03CCA">
        <w:t xml:space="preserve"> отчетный период состоялись спортивные игры школьных спортивных клубов города по четырем видам спорта</w:t>
      </w:r>
      <w:r>
        <w:t xml:space="preserve">, </w:t>
      </w:r>
      <w:r w:rsidRPr="00D03CCA">
        <w:t>первенство школьной баскетбольной Лиги среди учащихся с 4 по 10 классы.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Для молодежи прошла Спартакиада среди профессиональных образовательных учреждений города. 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целях духовного воспитания молодежи, воспитания внутренней потребности в толерантном поведении к людям </w:t>
      </w:r>
      <w:r>
        <w:t xml:space="preserve">других национальностей </w:t>
      </w:r>
      <w:r w:rsidRPr="00D03CCA">
        <w:t xml:space="preserve">и религиозных конфессий состоялись соревнования по мини-футболу среди команд образовательных организаций города с участием представителей принимающего сообщества и иностранных граждан.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>В рамках экологической акции «Выбираю чистый воздух» состоялось спортивно-массовое мероприятие по спортивному туризму в дисциплине «Северная ходьба» с участием студенческой молодежи, в том числе обучающихся в специальной медицинской группе и с инвалидностью.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</w:t>
      </w:r>
      <w:r>
        <w:t>целях</w:t>
      </w:r>
      <w:r w:rsidRPr="00D03CCA">
        <w:t xml:space="preserve"> привлечения к занятиям физической культурой и спортом работающего населения, развития корпоративного спорта, активизации физкультурного движения в трудовых коллективах в апреле на спортивных площадках города состоялась </w:t>
      </w:r>
      <w:r w:rsidRPr="00D03CCA">
        <w:rPr>
          <w:lang w:val="en-US"/>
        </w:rPr>
        <w:t>II</w:t>
      </w:r>
      <w:r w:rsidRPr="00D03CCA">
        <w:t xml:space="preserve"> спартакиада среди организаций отрасли связи. 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июне состоялся летний Фестиваль спорта работников здравоохранения. В соревнованиях по семи видам спорта приняли участие 52 команды, более          </w:t>
      </w:r>
      <w:r>
        <w:t xml:space="preserve">      </w:t>
      </w:r>
      <w:r w:rsidRPr="00D03CCA">
        <w:t>1000 участников.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рамках празднования Дня России прошел Фестиваль Всероссийского физкультурно-спортивного комплекса «Готов к труду и обороне» для работающей молодежи.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В целях популяризации физической культуры и спорта среди пожилых людей в феврале на лыжной базе «Локомотив» состоялась зимняя спартакиада среди членов местного отделения Союза пенсионеров России в городе Барнауле. В апреле и мае на спортивных объектах города проходила летняя спартакиада среди членов местного отделения Союза пенсионеров России в городе Барнауле.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В рамках Дня памяти о россиянах, исполняющих служебный долг за пределами Отечества, состоялись соревнования по настольному теннису, боулингу и бильярду с участием участников специальной военной операции и их семей.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Для ветеранов боевых действий на спортивной площадке сквера «Химиков» прошел турнир по мини-футболу среди общественных ветеранских организаций, на стадионе МАУ ДО «СШ «Рубин» состоялось физкультурно-спортивное мероприятие по мини-футболу, выполнение норм ВФСК «Готов к труду и обороне», по игре в лапту и городки.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целях формирования здорового образа жизни и потребности людей                  с ограниченными возможностями здоровья к регулярным занятиям физической культурой и спортом на спортивных объектах города состоялись первенства и чемпионаты города Барнаула по </w:t>
      </w:r>
      <w:proofErr w:type="spellStart"/>
      <w:r w:rsidRPr="00D03CCA">
        <w:t>бочча</w:t>
      </w:r>
      <w:proofErr w:type="spellEnd"/>
      <w:r w:rsidRPr="00D03CCA">
        <w:t xml:space="preserve">, пауэрлифтингу, </w:t>
      </w:r>
      <w:r>
        <w:t xml:space="preserve">стрельбе </w:t>
      </w:r>
      <w:r w:rsidRPr="00D03CCA">
        <w:t xml:space="preserve">из пневматической винтовки, а также городские </w:t>
      </w:r>
      <w:r w:rsidRPr="00D03CCA">
        <w:rPr>
          <w:rFonts w:eastAsia="Calibri"/>
          <w:lang w:eastAsia="en-US"/>
        </w:rPr>
        <w:t xml:space="preserve">соревнования по шахматам, шашкам, </w:t>
      </w:r>
      <w:proofErr w:type="spellStart"/>
      <w:r w:rsidRPr="00D03CCA">
        <w:rPr>
          <w:rFonts w:eastAsia="Calibri"/>
          <w:lang w:eastAsia="en-US"/>
        </w:rPr>
        <w:lastRenderedPageBreak/>
        <w:t>дартсу</w:t>
      </w:r>
      <w:proofErr w:type="spellEnd"/>
      <w:r w:rsidRPr="00D03CCA">
        <w:rPr>
          <w:rFonts w:eastAsia="Calibri"/>
          <w:lang w:eastAsia="en-US"/>
        </w:rPr>
        <w:t xml:space="preserve">, боулингу, настольному теннису, сидячему волейболу, настольным играм народов мира, напольному кёрлингу и рыбной ловле на поплавочную удочку. 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>
        <w:t xml:space="preserve">Продолжена работа по популяризации ВФСК ГТО. </w:t>
      </w:r>
      <w:r w:rsidRPr="008A666F">
        <w:rPr>
          <w:color w:val="000000"/>
        </w:rPr>
        <w:t>За 1 полугодие 2024 года по факту в</w:t>
      </w:r>
      <w:r w:rsidRPr="008A666F">
        <w:rPr>
          <w:color w:val="000000"/>
          <w:shd w:val="clear" w:color="auto" w:fill="FFFFFF"/>
        </w:rPr>
        <w:t xml:space="preserve"> МАУ «Ц</w:t>
      </w:r>
      <w:r w:rsidRPr="008A666F">
        <w:rPr>
          <w:color w:val="000000"/>
        </w:rPr>
        <w:t xml:space="preserve">ентр спортивно-массовой работы и тестирования ВФСК «ГТО» </w:t>
      </w:r>
      <w:r>
        <w:rPr>
          <w:color w:val="000000"/>
        </w:rPr>
        <w:t xml:space="preserve">подали заявки </w:t>
      </w:r>
      <w:r w:rsidRPr="008A666F">
        <w:rPr>
          <w:color w:val="000000"/>
        </w:rPr>
        <w:t>6888 чел</w:t>
      </w:r>
      <w:r>
        <w:rPr>
          <w:color w:val="000000"/>
        </w:rPr>
        <w:t>овек</w:t>
      </w:r>
      <w:r w:rsidRPr="008A666F">
        <w:rPr>
          <w:color w:val="000000"/>
        </w:rPr>
        <w:t xml:space="preserve">, приступили </w:t>
      </w:r>
      <w:r>
        <w:rPr>
          <w:color w:val="000000"/>
        </w:rPr>
        <w:t xml:space="preserve">к испытаниям </w:t>
      </w:r>
      <w:r w:rsidRPr="008A666F">
        <w:rPr>
          <w:color w:val="000000"/>
        </w:rPr>
        <w:t>5192 чел</w:t>
      </w:r>
      <w:r>
        <w:rPr>
          <w:color w:val="000000"/>
        </w:rPr>
        <w:t xml:space="preserve">овек (всего план на 2024 год - 5700 человек), </w:t>
      </w:r>
      <w:r w:rsidRPr="008A666F">
        <w:rPr>
          <w:color w:val="000000"/>
        </w:rPr>
        <w:t>в том числе: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A666F">
        <w:rPr>
          <w:color w:val="000000"/>
        </w:rPr>
        <w:t>учащиеся общеобразовательных учреждений – 3924 чел</w:t>
      </w:r>
      <w:r>
        <w:rPr>
          <w:color w:val="000000"/>
        </w:rPr>
        <w:t>овек</w:t>
      </w:r>
      <w:r w:rsidRPr="008A666F">
        <w:rPr>
          <w:color w:val="000000"/>
        </w:rPr>
        <w:t xml:space="preserve">, 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A666F">
        <w:rPr>
          <w:color w:val="000000"/>
        </w:rPr>
        <w:t>студенты- 277 человек,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A666F">
        <w:rPr>
          <w:color w:val="000000"/>
        </w:rPr>
        <w:t>детских садов – 457 чел</w:t>
      </w:r>
      <w:r>
        <w:rPr>
          <w:color w:val="000000"/>
        </w:rPr>
        <w:t>овек</w:t>
      </w:r>
      <w:r w:rsidRPr="008A666F">
        <w:rPr>
          <w:color w:val="000000"/>
        </w:rPr>
        <w:t xml:space="preserve">, 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A666F">
        <w:rPr>
          <w:color w:val="000000"/>
        </w:rPr>
        <w:t>взрослое население – 464 чел</w:t>
      </w:r>
      <w:r>
        <w:rPr>
          <w:color w:val="000000"/>
        </w:rPr>
        <w:t>овек</w:t>
      </w:r>
      <w:r w:rsidRPr="008A666F">
        <w:rPr>
          <w:color w:val="000000"/>
        </w:rPr>
        <w:t>.</w:t>
      </w:r>
    </w:p>
    <w:p w:rsidR="002979BA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Pr="008A666F">
        <w:rPr>
          <w:color w:val="000000"/>
        </w:rPr>
        <w:t>а знак отличия выполнили по прогнозу 2679 человек</w:t>
      </w:r>
      <w:r>
        <w:rPr>
          <w:color w:val="000000"/>
        </w:rPr>
        <w:t xml:space="preserve"> (51,6%)</w:t>
      </w:r>
      <w:r w:rsidRPr="008A666F">
        <w:rPr>
          <w:color w:val="000000"/>
        </w:rPr>
        <w:t>. По прогнозу за 1 полугодие 2024 года участники выполнили: на золотой знак отличия – 841 чел</w:t>
      </w:r>
      <w:r>
        <w:rPr>
          <w:color w:val="000000"/>
        </w:rPr>
        <w:t>овек</w:t>
      </w:r>
      <w:r w:rsidRPr="008A666F">
        <w:rPr>
          <w:color w:val="000000"/>
        </w:rPr>
        <w:t>; серебряный – 1111 чел</w:t>
      </w:r>
      <w:r>
        <w:rPr>
          <w:color w:val="000000"/>
        </w:rPr>
        <w:t>овек</w:t>
      </w:r>
      <w:r w:rsidRPr="008A666F">
        <w:rPr>
          <w:color w:val="000000"/>
        </w:rPr>
        <w:t>; бронзовый – 727 чел</w:t>
      </w:r>
      <w:r>
        <w:rPr>
          <w:color w:val="000000"/>
        </w:rPr>
        <w:t>овек</w:t>
      </w:r>
      <w:r w:rsidRPr="008A666F">
        <w:rPr>
          <w:color w:val="000000"/>
        </w:rPr>
        <w:t>.</w:t>
      </w:r>
    </w:p>
    <w:p w:rsidR="002979BA" w:rsidRPr="00D03CCA" w:rsidRDefault="002979BA" w:rsidP="002979BA">
      <w:pPr>
        <w:ind w:firstLine="700"/>
        <w:jc w:val="both"/>
        <w:rPr>
          <w:color w:val="000000"/>
        </w:rPr>
      </w:pPr>
      <w:r w:rsidRPr="00D03CCA">
        <w:rPr>
          <w:color w:val="000000"/>
        </w:rPr>
        <w:t xml:space="preserve">За счет средств городского бюджета в отчетный период велись ремонтные работы здания МБУ «Центр спортивно-массовой работы и тестирования ВФСК ГТО» по адресу: </w:t>
      </w:r>
      <w:proofErr w:type="spellStart"/>
      <w:r w:rsidRPr="00D03CCA">
        <w:rPr>
          <w:color w:val="000000"/>
        </w:rPr>
        <w:t>ул.Профинтерна</w:t>
      </w:r>
      <w:proofErr w:type="spellEnd"/>
      <w:r w:rsidRPr="00D03CCA">
        <w:rPr>
          <w:color w:val="000000"/>
        </w:rPr>
        <w:t>, 37.</w:t>
      </w:r>
      <w:r w:rsidRPr="00D03CCA"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>Работы продолжены в 3 квартале.</w:t>
      </w:r>
    </w:p>
    <w:p w:rsidR="002979BA" w:rsidRPr="00871F00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71F00">
        <w:t>В целях создания условий для организации спортивного досуга населения, формирования здорового образа жизни по месту жительства на территории города Барнаула реализуется проект «Дворовый инструктор».</w:t>
      </w:r>
      <w:r w:rsidRPr="00871F00">
        <w:rPr>
          <w:color w:val="000000"/>
        </w:rPr>
        <w:t xml:space="preserve"> </w:t>
      </w:r>
    </w:p>
    <w:p w:rsidR="002979BA" w:rsidRPr="00871F00" w:rsidRDefault="002979BA" w:rsidP="002979BA">
      <w:pPr>
        <w:ind w:firstLine="567"/>
        <w:jc w:val="both"/>
        <w:rPr>
          <w:rFonts w:eastAsia="Calibri"/>
          <w:lang w:eastAsia="en-US"/>
        </w:rPr>
      </w:pPr>
      <w:r>
        <w:t xml:space="preserve">В июне 2024 года в проекте приняли участие </w:t>
      </w:r>
      <w:r w:rsidRPr="00871F00">
        <w:rPr>
          <w:rFonts w:eastAsia="Calibri"/>
          <w:lang w:eastAsia="en-US"/>
        </w:rPr>
        <w:t xml:space="preserve">540 человек), в том числе </w:t>
      </w:r>
      <w:r>
        <w:rPr>
          <w:rFonts w:eastAsia="Calibri"/>
          <w:lang w:eastAsia="en-US"/>
        </w:rPr>
        <w:t>86</w:t>
      </w:r>
      <w:r w:rsidRPr="00871F00">
        <w:rPr>
          <w:rFonts w:eastAsia="Calibri"/>
          <w:lang w:eastAsia="en-US"/>
        </w:rPr>
        <w:t xml:space="preserve"> детей и подростков, состоящих на различных видах профилактического учета</w:t>
      </w:r>
      <w:r>
        <w:rPr>
          <w:rFonts w:eastAsia="Calibri"/>
          <w:lang w:eastAsia="en-US"/>
        </w:rPr>
        <w:t xml:space="preserve">. </w:t>
      </w:r>
      <w:r w:rsidRPr="00871F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2979BA" w:rsidRPr="00871F00" w:rsidRDefault="002979BA" w:rsidP="002979BA">
      <w:pPr>
        <w:shd w:val="clear" w:color="auto" w:fill="FFFFFF"/>
        <w:ind w:firstLine="709"/>
        <w:jc w:val="both"/>
      </w:pPr>
      <w:r w:rsidRPr="00871F00">
        <w:t xml:space="preserve">В рамках проведения </w:t>
      </w:r>
      <w:r w:rsidRPr="00871F00">
        <w:rPr>
          <w:lang w:val="en-US"/>
        </w:rPr>
        <w:t>XXXV</w:t>
      </w:r>
      <w:r w:rsidRPr="00871F00">
        <w:t xml:space="preserve"> Всероссийского Олимпийского дня состоялись муниципальные Детские дворовые игры.  </w:t>
      </w:r>
    </w:p>
    <w:p w:rsidR="002979BA" w:rsidRDefault="002979BA" w:rsidP="002979BA">
      <w:pPr>
        <w:ind w:firstLine="709"/>
        <w:jc w:val="both"/>
      </w:pPr>
      <w:r w:rsidRPr="00871F00">
        <w:t xml:space="preserve"> Для выявления сильнейших команд города и талантливых юных футболистов в июне состоялись городские соревнования юных футболистов «Кожаный мяч». В соревнованиях по трем возрастным группам: 2009-2010, 2011-2012, 2013-2014 г.р. приняла участие 21 команда в количестве 342 человек. </w:t>
      </w:r>
    </w:p>
    <w:bookmarkEnd w:id="0"/>
    <w:p w:rsidR="002979BA" w:rsidRDefault="002979BA" w:rsidP="002979BA">
      <w:pPr>
        <w:ind w:firstLine="709"/>
        <w:jc w:val="both"/>
        <w:rPr>
          <w:b/>
        </w:rPr>
      </w:pPr>
    </w:p>
    <w:p w:rsidR="002979BA" w:rsidRPr="00D12C4F" w:rsidRDefault="002979BA" w:rsidP="002979BA">
      <w:pPr>
        <w:ind w:firstLine="709"/>
        <w:jc w:val="both"/>
        <w:rPr>
          <w:b/>
        </w:rPr>
      </w:pPr>
      <w:r w:rsidRPr="006C05C7">
        <w:rPr>
          <w:b/>
        </w:rPr>
        <w:t>Подготовка спортивного резерва</w:t>
      </w:r>
    </w:p>
    <w:p w:rsidR="002979BA" w:rsidRDefault="002979BA" w:rsidP="002979BA">
      <w:pPr>
        <w:pStyle w:val="wP2"/>
        <w:ind w:firstLine="709"/>
        <w:rPr>
          <w:sz w:val="28"/>
          <w:szCs w:val="28"/>
        </w:rPr>
      </w:pPr>
      <w:r w:rsidRPr="00CC6E49">
        <w:rPr>
          <w:sz w:val="28"/>
          <w:szCs w:val="28"/>
        </w:rPr>
        <w:t>По муниципальному заданию в 13 муниципальных бюджетных (автономных) учреждениях дополнительного образования (далее – спортивные школы) занимаются 10</w:t>
      </w:r>
      <w:r>
        <w:rPr>
          <w:sz w:val="28"/>
          <w:szCs w:val="28"/>
        </w:rPr>
        <w:t xml:space="preserve">172 воспитанника, из них </w:t>
      </w:r>
      <w:r w:rsidRPr="00CC6E49">
        <w:rPr>
          <w:sz w:val="28"/>
          <w:szCs w:val="28"/>
        </w:rPr>
        <w:t>9259 человек (91,1%) занимаются на этапах спортивной подготовки, 913 человек</w:t>
      </w:r>
      <w:r>
        <w:rPr>
          <w:sz w:val="28"/>
          <w:szCs w:val="28"/>
        </w:rPr>
        <w:t xml:space="preserve"> </w:t>
      </w:r>
      <w:r w:rsidRPr="00CC6E49">
        <w:rPr>
          <w:sz w:val="28"/>
          <w:szCs w:val="28"/>
        </w:rPr>
        <w:t>– в спортивно-оз</w:t>
      </w:r>
      <w:r>
        <w:rPr>
          <w:sz w:val="28"/>
          <w:szCs w:val="28"/>
        </w:rPr>
        <w:t>доровительных группах</w:t>
      </w:r>
      <w:r w:rsidRPr="00CC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</w:t>
      </w:r>
      <w:r w:rsidRPr="00CC6E49">
        <w:rPr>
          <w:sz w:val="28"/>
          <w:szCs w:val="28"/>
        </w:rPr>
        <w:t>(</w:t>
      </w:r>
      <w:proofErr w:type="gramEnd"/>
      <w:r w:rsidRPr="00CC6E49">
        <w:rPr>
          <w:sz w:val="28"/>
          <w:szCs w:val="28"/>
        </w:rPr>
        <w:t>8,9%).</w:t>
      </w:r>
    </w:p>
    <w:p w:rsidR="002979BA" w:rsidRPr="00D03CCA" w:rsidRDefault="002979BA" w:rsidP="002979B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D03CCA">
        <w:t>Подготовка спортивного резерва осуществляется по 31 виду спорта, в том числе 15 видов спорта являются базовыми для Алтайского края, т.е. спортсмены входят в состав сборных команд страны.</w:t>
      </w:r>
    </w:p>
    <w:p w:rsidR="002979BA" w:rsidRPr="00D03CCA" w:rsidRDefault="002979BA" w:rsidP="002979BA">
      <w:pPr>
        <w:snapToGrid w:val="0"/>
        <w:ind w:firstLine="708"/>
        <w:jc w:val="both"/>
      </w:pPr>
      <w:r w:rsidRPr="00D03CCA">
        <w:t xml:space="preserve"> Членами сборной России являются 28 воспитанников муниципальных спортивных школ, членами сборной Алтайского края </w:t>
      </w:r>
      <w:r w:rsidRPr="00CC6E49">
        <w:t>–</w:t>
      </w:r>
      <w:r w:rsidRPr="00D03CCA">
        <w:t xml:space="preserve"> 834 человека.</w:t>
      </w:r>
    </w:p>
    <w:p w:rsidR="002979BA" w:rsidRPr="00D03CCA" w:rsidRDefault="002979BA" w:rsidP="002979BA">
      <w:pPr>
        <w:ind w:firstLine="708"/>
        <w:jc w:val="both"/>
        <w:rPr>
          <w:rFonts w:eastAsia="Calibri"/>
        </w:rPr>
      </w:pPr>
      <w:r w:rsidRPr="00D03CCA">
        <w:rPr>
          <w:rFonts w:eastAsia="Calibri"/>
          <w:lang w:eastAsia="en-US"/>
        </w:rPr>
        <w:t xml:space="preserve"> В отчетный период </w:t>
      </w:r>
      <w:proofErr w:type="spellStart"/>
      <w:r w:rsidRPr="00D03CCA">
        <w:rPr>
          <w:rFonts w:eastAsia="Calibri"/>
        </w:rPr>
        <w:t>Найдин</w:t>
      </w:r>
      <w:proofErr w:type="spellEnd"/>
      <w:r w:rsidRPr="00D03CCA">
        <w:rPr>
          <w:rFonts w:eastAsia="Calibri"/>
        </w:rPr>
        <w:t xml:space="preserve"> Сергей, мастер спорта международного класса по спортивной гимнастике, занял 1 место в соревнованиях на перекладине на международных соревнованиях «Игры «БРИКС». </w:t>
      </w:r>
    </w:p>
    <w:p w:rsidR="002979BA" w:rsidRPr="00D03CCA" w:rsidRDefault="002979BA" w:rsidP="002979BA">
      <w:pPr>
        <w:jc w:val="both"/>
        <w:rPr>
          <w:rFonts w:eastAsia="Calibri"/>
          <w:lang w:eastAsia="en-US"/>
        </w:rPr>
      </w:pPr>
      <w:r w:rsidRPr="00D03CCA">
        <w:rPr>
          <w:rFonts w:eastAsia="Calibri"/>
          <w:lang w:eastAsia="en-US"/>
        </w:rPr>
        <w:lastRenderedPageBreak/>
        <w:tab/>
        <w:t xml:space="preserve">На чемпионате и первенстве Мира по </w:t>
      </w:r>
      <w:proofErr w:type="spellStart"/>
      <w:r w:rsidRPr="00D03CCA">
        <w:rPr>
          <w:rFonts w:eastAsia="Calibri"/>
          <w:lang w:eastAsia="en-US"/>
        </w:rPr>
        <w:t>всестилевому</w:t>
      </w:r>
      <w:proofErr w:type="spellEnd"/>
      <w:r w:rsidRPr="00D03CCA">
        <w:rPr>
          <w:rFonts w:eastAsia="Calibri"/>
          <w:lang w:eastAsia="en-US"/>
        </w:rPr>
        <w:t xml:space="preserve"> каратэ в </w:t>
      </w:r>
      <w:proofErr w:type="spellStart"/>
      <w:r w:rsidRPr="00D03CCA">
        <w:rPr>
          <w:rFonts w:eastAsia="Calibri"/>
          <w:lang w:eastAsia="en-US"/>
        </w:rPr>
        <w:t>г.Орле</w:t>
      </w:r>
      <w:proofErr w:type="spellEnd"/>
      <w:r w:rsidRPr="00D03CCA">
        <w:rPr>
          <w:rFonts w:eastAsia="Calibri"/>
          <w:lang w:eastAsia="en-US"/>
        </w:rPr>
        <w:t xml:space="preserve"> спортсмены МАУ ДО «Рубин» завоевали восемь первых, шесть вторых и пять третьих мест.</w:t>
      </w:r>
    </w:p>
    <w:p w:rsidR="002979BA" w:rsidRPr="00D03CCA" w:rsidRDefault="002979BA" w:rsidP="002979BA">
      <w:pPr>
        <w:ind w:firstLine="709"/>
        <w:jc w:val="both"/>
        <w:rPr>
          <w:rFonts w:eastAsia="Calibri"/>
          <w:lang w:eastAsia="en-US"/>
        </w:rPr>
      </w:pPr>
      <w:r w:rsidRPr="00D03CCA">
        <w:t xml:space="preserve">На XIX Международном фестивале дзюдо в Сибирском федеральном округе       в городе Барнауле четыре воспитанника МБУ ДО «Спарта» стали победителями            в своих весовых категориях.  </w:t>
      </w:r>
    </w:p>
    <w:p w:rsidR="002979BA" w:rsidRPr="00D03CCA" w:rsidRDefault="002979BA" w:rsidP="002979BA">
      <w:pPr>
        <w:ind w:firstLine="709"/>
        <w:jc w:val="both"/>
      </w:pPr>
      <w:r w:rsidRPr="00D03CCA">
        <w:t>На Первенстве России по дзюдо до 23 лет (</w:t>
      </w:r>
      <w:proofErr w:type="spellStart"/>
      <w:r w:rsidRPr="00D03CCA">
        <w:t>г.Екатеринбург</w:t>
      </w:r>
      <w:proofErr w:type="spellEnd"/>
      <w:r w:rsidRPr="00D03CCA">
        <w:t xml:space="preserve">) воспитанница МБУ ДО «СШОР «Олимпия» </w:t>
      </w:r>
      <w:proofErr w:type="spellStart"/>
      <w:r w:rsidRPr="00D03CCA">
        <w:t>Храмойкина</w:t>
      </w:r>
      <w:proofErr w:type="spellEnd"/>
      <w:r w:rsidRPr="00D03CCA">
        <w:t xml:space="preserve"> Дарья заняла первое место.  </w:t>
      </w:r>
    </w:p>
    <w:p w:rsidR="002979BA" w:rsidRPr="00D03CCA" w:rsidRDefault="002979BA" w:rsidP="002979BA">
      <w:pPr>
        <w:ind w:firstLine="709"/>
        <w:jc w:val="both"/>
      </w:pPr>
      <w:r w:rsidRPr="00D03CCA">
        <w:t xml:space="preserve">На Первенстве России по скалолазанию воспитанник                                             МАУ ДО «Спортивная школа №7» </w:t>
      </w:r>
      <w:proofErr w:type="spellStart"/>
      <w:r w:rsidRPr="00D03CCA">
        <w:t>Тошмат</w:t>
      </w:r>
      <w:proofErr w:type="spellEnd"/>
      <w:r w:rsidRPr="00D03CCA">
        <w:t xml:space="preserve"> Владислав завоевал третье место.    </w:t>
      </w:r>
    </w:p>
    <w:p w:rsidR="002979BA" w:rsidRPr="00D03CCA" w:rsidRDefault="002979BA" w:rsidP="002979BA">
      <w:pPr>
        <w:ind w:firstLine="709"/>
        <w:jc w:val="both"/>
      </w:pPr>
      <w:r w:rsidRPr="00D03CCA">
        <w:t xml:space="preserve">На Первенстве России по кикбоксингу в мае текущего года первое место занял воспитанник МБУ ДО «СШ «Победа» </w:t>
      </w:r>
      <w:proofErr w:type="spellStart"/>
      <w:r w:rsidRPr="00D03CCA">
        <w:t>Фозилов</w:t>
      </w:r>
      <w:proofErr w:type="spellEnd"/>
      <w:r w:rsidRPr="00D03CCA">
        <w:t xml:space="preserve"> </w:t>
      </w:r>
      <w:proofErr w:type="spellStart"/>
      <w:r w:rsidRPr="00D03CCA">
        <w:t>Билол</w:t>
      </w:r>
      <w:proofErr w:type="spellEnd"/>
      <w:r w:rsidRPr="00D03CCA">
        <w:t>.</w:t>
      </w:r>
    </w:p>
    <w:p w:rsidR="002979BA" w:rsidRPr="00D03CCA" w:rsidRDefault="002979BA" w:rsidP="002979BA">
      <w:pPr>
        <w:ind w:firstLine="709"/>
        <w:jc w:val="both"/>
      </w:pPr>
      <w:r w:rsidRPr="00D03CCA">
        <w:t xml:space="preserve">На первенстве России по джиу-джитсу воспитанники МБУ ДО «Спортивная школа №10» Дорофеева Дарья и </w:t>
      </w:r>
      <w:proofErr w:type="spellStart"/>
      <w:r w:rsidRPr="00D03CCA">
        <w:t>Колбин</w:t>
      </w:r>
      <w:proofErr w:type="spellEnd"/>
      <w:r w:rsidRPr="00D03CCA">
        <w:t xml:space="preserve"> Владислав заняли первое и третье место соответственно. Так же Дорофеева Дарья выиграла кубок Мира в </w:t>
      </w:r>
      <w:proofErr w:type="spellStart"/>
      <w:r w:rsidRPr="00D03CCA">
        <w:t>г.Астане</w:t>
      </w:r>
      <w:proofErr w:type="spellEnd"/>
      <w:r w:rsidRPr="00D03CCA">
        <w:t>. В мае на Первенстве России по ВБЕ (</w:t>
      </w:r>
      <w:proofErr w:type="spellStart"/>
      <w:r w:rsidRPr="00D03CCA">
        <w:t>сётокан</w:t>
      </w:r>
      <w:proofErr w:type="spellEnd"/>
      <w:r w:rsidRPr="00D03CCA">
        <w:t>) Щеглов Иван стал серебряным призером.</w:t>
      </w:r>
    </w:p>
    <w:p w:rsidR="002979BA" w:rsidRPr="00D03CCA" w:rsidRDefault="002979BA" w:rsidP="002979BA">
      <w:pPr>
        <w:ind w:firstLine="709"/>
        <w:jc w:val="both"/>
      </w:pPr>
      <w:r w:rsidRPr="00D03CCA">
        <w:t xml:space="preserve">На чемпионате России по спортивной аэробике сборная Алтайского </w:t>
      </w:r>
      <w:proofErr w:type="gramStart"/>
      <w:r w:rsidRPr="00D03CCA">
        <w:t xml:space="preserve">края,   </w:t>
      </w:r>
      <w:proofErr w:type="gramEnd"/>
      <w:r w:rsidRPr="00D03CCA">
        <w:t xml:space="preserve">     в состав которой вошли спортсмены МБУ ДО «Спортивная школа №6»                 (Басов Иван, </w:t>
      </w:r>
      <w:proofErr w:type="spellStart"/>
      <w:r w:rsidRPr="00D03CCA">
        <w:t>Закопко</w:t>
      </w:r>
      <w:proofErr w:type="spellEnd"/>
      <w:r w:rsidRPr="00D03CCA">
        <w:t xml:space="preserve"> Анастасия, </w:t>
      </w:r>
      <w:proofErr w:type="spellStart"/>
      <w:r w:rsidRPr="00D03CCA">
        <w:t>Колмыкова</w:t>
      </w:r>
      <w:proofErr w:type="spellEnd"/>
      <w:r w:rsidRPr="00D03CCA">
        <w:t xml:space="preserve"> Валерия, Малыхина Софья) и МБУ ДО «Спортивная школа «Победа» (Погорелая Мария), завоевали серебряную медаль в групповом упражнении.</w:t>
      </w:r>
    </w:p>
    <w:p w:rsidR="002979BA" w:rsidRPr="00D03CCA" w:rsidRDefault="002979BA" w:rsidP="002979BA">
      <w:pPr>
        <w:ind w:firstLine="709"/>
        <w:jc w:val="both"/>
        <w:rPr>
          <w:rFonts w:eastAsia="Calibri"/>
          <w:lang w:eastAsia="en-US"/>
        </w:rPr>
      </w:pPr>
      <w:r w:rsidRPr="00D03CCA">
        <w:t xml:space="preserve">Несколько побед у воспитанников МБУ ДО «СШ №9». Рябова Дарья стала бронзовым призером Первенства России по тяжелой атлетике среди девушек            до 18 лет. </w:t>
      </w:r>
      <w:r w:rsidRPr="00D03CCA">
        <w:rPr>
          <w:rFonts w:eastAsia="Calibri"/>
          <w:lang w:eastAsia="en-US"/>
        </w:rPr>
        <w:t xml:space="preserve">Лыжина Екатерина заняла второе место в дисциплине лыжная              гонка- спринт в Спартакиаде учащихся России 2024 года по зимним видам спорта. На Первенстве России по спортивному ориентированию воспитанники школы заняли четыре призовых места.  </w:t>
      </w:r>
    </w:p>
    <w:p w:rsidR="002979BA" w:rsidRPr="00D03CCA" w:rsidRDefault="002979BA" w:rsidP="002979BA">
      <w:pPr>
        <w:ind w:firstLine="709"/>
        <w:jc w:val="both"/>
        <w:rPr>
          <w:rFonts w:eastAsia="Calibri"/>
          <w:lang w:eastAsia="en-US"/>
        </w:rPr>
      </w:pPr>
      <w:r w:rsidRPr="00D03CCA">
        <w:rPr>
          <w:rFonts w:eastAsia="Calibri"/>
          <w:lang w:eastAsia="en-US"/>
        </w:rPr>
        <w:t xml:space="preserve">На этапе Кубка России 2024 года по шахматам среди мальчиков и девочек до 13 лет победил воспитанник МБУ ДО «СШОР № 3» Ворошилов Роман. </w:t>
      </w:r>
    </w:p>
    <w:p w:rsidR="002979BA" w:rsidRPr="00D03CCA" w:rsidRDefault="002979BA" w:rsidP="002979BA">
      <w:pPr>
        <w:ind w:firstLine="709"/>
        <w:jc w:val="both"/>
      </w:pPr>
      <w:r>
        <w:t>Всего н</w:t>
      </w:r>
      <w:r w:rsidRPr="00D03CCA">
        <w:t>а 2024 год запланировано участие более 3000 спортсменов муниципальных спортивных школ во всероссийских спортивных соревнованиях, в том числе в первенствах, чемпионатах и кубках России</w:t>
      </w:r>
      <w:r w:rsidRPr="00D94D23">
        <w:t xml:space="preserve"> </w:t>
      </w:r>
      <w:r w:rsidRPr="00330403">
        <w:t>по дзюдо, легкой атлетике,</w:t>
      </w:r>
      <w:r w:rsidRPr="00D94D23">
        <w:t xml:space="preserve"> </w:t>
      </w:r>
      <w:r w:rsidRPr="00D03CCA">
        <w:t>художественной гимнастике, боксу, джиу-джитсу, спортивной гимнастике, кикбоксингу, тхэквондо и другим видам спорта.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>В</w:t>
      </w:r>
      <w:r>
        <w:rPr>
          <w:color w:val="000000"/>
        </w:rPr>
        <w:t>о 2 квартале</w:t>
      </w:r>
      <w:r w:rsidRPr="00330403">
        <w:rPr>
          <w:color w:val="000000"/>
        </w:rPr>
        <w:t xml:space="preserve"> 2024 года в целях приведение спортивной инфраструктуры в нормативное состояние проведены следующие ремонтные работы:</w:t>
      </w:r>
    </w:p>
    <w:p w:rsidR="002979BA" w:rsidRPr="00330403" w:rsidRDefault="002979BA" w:rsidP="002979BA">
      <w:pPr>
        <w:ind w:firstLine="709"/>
        <w:jc w:val="both"/>
        <w:rPr>
          <w:color w:val="000000"/>
        </w:rPr>
      </w:pPr>
      <w:r w:rsidRPr="00330403">
        <w:rPr>
          <w:color w:val="000000"/>
        </w:rPr>
        <w:t>ремонт искусственного газона футбольного поля МБУ ДО «СШ «Победа» по адресу: ул.А.Петрова,146г;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>замена оконных блоков МБУ ДО «СШ №6» по адресу: ул.5-я Западная, 62г;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 xml:space="preserve">ремонт спортивного зала МБУ ДО «СШОР «Олимпия» по </w:t>
      </w:r>
      <w:proofErr w:type="gramStart"/>
      <w:r w:rsidRPr="00330403">
        <w:rPr>
          <w:color w:val="000000"/>
        </w:rPr>
        <w:t xml:space="preserve">адресу: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</w:t>
      </w:r>
      <w:r w:rsidRPr="00330403">
        <w:rPr>
          <w:color w:val="000000"/>
        </w:rPr>
        <w:t>ул. Солнечная Поляна,25а;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 xml:space="preserve">ремонт медицинского кабинета МАУ ДО «СШ «Рубин» по адресу: </w:t>
      </w:r>
      <w:proofErr w:type="spellStart"/>
      <w:r w:rsidRPr="00330403">
        <w:rPr>
          <w:color w:val="000000"/>
        </w:rPr>
        <w:t>ул.Мусорского</w:t>
      </w:r>
      <w:proofErr w:type="spellEnd"/>
      <w:r w:rsidRPr="00330403">
        <w:rPr>
          <w:color w:val="000000"/>
        </w:rPr>
        <w:t>, 22;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lastRenderedPageBreak/>
        <w:t xml:space="preserve">ремонт медицинского кабинета МБУ ДО «СШОР «Спарта» по </w:t>
      </w:r>
      <w:proofErr w:type="gramStart"/>
      <w:r w:rsidRPr="00330403">
        <w:rPr>
          <w:color w:val="000000"/>
        </w:rPr>
        <w:t xml:space="preserve">адресу:   </w:t>
      </w:r>
      <w:proofErr w:type="gramEnd"/>
      <w:r w:rsidRPr="00330403">
        <w:rPr>
          <w:color w:val="000000"/>
        </w:rPr>
        <w:t xml:space="preserve">     </w:t>
      </w:r>
      <w:r>
        <w:rPr>
          <w:color w:val="000000"/>
        </w:rPr>
        <w:t xml:space="preserve">    </w:t>
      </w:r>
      <w:proofErr w:type="spellStart"/>
      <w:r w:rsidRPr="00330403">
        <w:rPr>
          <w:color w:val="000000"/>
        </w:rPr>
        <w:t>пр-кт</w:t>
      </w:r>
      <w:proofErr w:type="spellEnd"/>
      <w:r w:rsidRPr="00330403">
        <w:rPr>
          <w:color w:val="000000"/>
        </w:rPr>
        <w:t xml:space="preserve"> </w:t>
      </w:r>
      <w:proofErr w:type="spellStart"/>
      <w:r w:rsidRPr="00330403">
        <w:rPr>
          <w:color w:val="000000"/>
        </w:rPr>
        <w:t>Комсмонавтов</w:t>
      </w:r>
      <w:proofErr w:type="spellEnd"/>
      <w:r w:rsidRPr="00330403">
        <w:rPr>
          <w:color w:val="000000"/>
        </w:rPr>
        <w:t>, 8;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>текущий ремонт систем холодного и горячего водоснабжения, отопления в здании МБУ ДО «СШОР №2»;</w:t>
      </w:r>
    </w:p>
    <w:p w:rsidR="002979BA" w:rsidRPr="00330403" w:rsidRDefault="002979BA" w:rsidP="002979BA">
      <w:pPr>
        <w:ind w:firstLine="708"/>
        <w:jc w:val="both"/>
        <w:rPr>
          <w:color w:val="000000"/>
        </w:rPr>
      </w:pPr>
      <w:r w:rsidRPr="00330403">
        <w:rPr>
          <w:color w:val="000000"/>
        </w:rPr>
        <w:t>укладка асфальта на стадионе МБУ ДО «СШ «Полимер» по адресу: ул.Малахова,177б.</w:t>
      </w:r>
    </w:p>
    <w:p w:rsidR="002979BA" w:rsidRDefault="002979BA" w:rsidP="002979BA">
      <w:pPr>
        <w:pStyle w:val="wP2"/>
        <w:ind w:left="709" w:firstLine="0"/>
        <w:rPr>
          <w:sz w:val="28"/>
          <w:szCs w:val="28"/>
          <w:lang w:eastAsia="ru-RU"/>
        </w:rPr>
      </w:pPr>
      <w:r w:rsidRPr="00D03CCA">
        <w:rPr>
          <w:sz w:val="28"/>
          <w:szCs w:val="28"/>
          <w:lang w:eastAsia="ru-RU"/>
        </w:rPr>
        <w:t xml:space="preserve"> </w:t>
      </w:r>
    </w:p>
    <w:p w:rsidR="002979BA" w:rsidRDefault="002979BA" w:rsidP="002979BA">
      <w:pPr>
        <w:pStyle w:val="wP2"/>
        <w:ind w:left="709" w:firstLine="0"/>
        <w:rPr>
          <w:b/>
          <w:sz w:val="28"/>
          <w:szCs w:val="28"/>
          <w:lang w:eastAsia="ru-RU"/>
        </w:rPr>
      </w:pPr>
      <w:r w:rsidRPr="003011A1">
        <w:rPr>
          <w:b/>
          <w:sz w:val="28"/>
          <w:szCs w:val="28"/>
          <w:lang w:eastAsia="ru-RU"/>
        </w:rPr>
        <w:t>Развитие спортивной инфраструктуры:</w:t>
      </w:r>
    </w:p>
    <w:p w:rsidR="002979BA" w:rsidRPr="0073255A" w:rsidRDefault="002979BA" w:rsidP="002979BA">
      <w:pPr>
        <w:tabs>
          <w:tab w:val="left" w:pos="0"/>
          <w:tab w:val="left" w:pos="851"/>
        </w:tabs>
        <w:ind w:firstLine="709"/>
        <w:jc w:val="both"/>
        <w:rPr>
          <w:color w:val="000000"/>
        </w:rPr>
      </w:pPr>
      <w:r w:rsidRPr="0073255A">
        <w:rPr>
          <w:color w:val="000000"/>
        </w:rPr>
        <w:t xml:space="preserve">В целях </w:t>
      </w:r>
      <w:r>
        <w:rPr>
          <w:color w:val="000000"/>
        </w:rPr>
        <w:t>развития спортивной инфраструктуры с</w:t>
      </w:r>
      <w:r w:rsidRPr="0073255A">
        <w:rPr>
          <w:color w:val="000000"/>
        </w:rPr>
        <w:t>формирован</w:t>
      </w:r>
      <w:r>
        <w:rPr>
          <w:color w:val="000000"/>
        </w:rPr>
        <w:t xml:space="preserve">а и направлена в Министерство спорта Алтайского края </w:t>
      </w:r>
      <w:r w:rsidRPr="0073255A">
        <w:rPr>
          <w:color w:val="000000"/>
        </w:rPr>
        <w:t>заявк</w:t>
      </w:r>
      <w:r>
        <w:rPr>
          <w:color w:val="000000"/>
        </w:rPr>
        <w:t>а</w:t>
      </w:r>
      <w:r w:rsidRPr="0073255A">
        <w:rPr>
          <w:color w:val="000000"/>
        </w:rPr>
        <w:t xml:space="preserve"> в КАИП на 2025 год</w:t>
      </w:r>
      <w:r>
        <w:rPr>
          <w:color w:val="000000"/>
        </w:rPr>
        <w:t xml:space="preserve"> на пять объектов, в том числе:  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спортивного зала, пристроенного к зданию детско-юношеской спортивной школы по </w:t>
      </w:r>
      <w:proofErr w:type="spellStart"/>
      <w:r w:rsidRPr="00384236">
        <w:rPr>
          <w:color w:val="000000"/>
        </w:rPr>
        <w:t>ул.Советской</w:t>
      </w:r>
      <w:proofErr w:type="spellEnd"/>
      <w:r w:rsidRPr="00384236">
        <w:rPr>
          <w:color w:val="000000"/>
        </w:rPr>
        <w:t xml:space="preserve"> Армии, 73;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административного здания по адресу: г. </w:t>
      </w:r>
      <w:proofErr w:type="gramStart"/>
      <w:r w:rsidRPr="00384236">
        <w:rPr>
          <w:color w:val="000000"/>
        </w:rPr>
        <w:t xml:space="preserve">Барнаул,   </w:t>
      </w:r>
      <w:proofErr w:type="gramEnd"/>
      <w:r w:rsidRPr="00384236">
        <w:rPr>
          <w:color w:val="000000"/>
        </w:rPr>
        <w:t xml:space="preserve">                                ул. Юрина, 197.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реконструкция административного здания по адресу: </w:t>
      </w:r>
      <w:proofErr w:type="spellStart"/>
      <w:r w:rsidRPr="00384236">
        <w:rPr>
          <w:color w:val="000000"/>
        </w:rPr>
        <w:t>г.Барнаул</w:t>
      </w:r>
      <w:proofErr w:type="spellEnd"/>
      <w:r w:rsidRPr="00384236">
        <w:rPr>
          <w:color w:val="000000"/>
        </w:rPr>
        <w:t xml:space="preserve">, </w:t>
      </w:r>
      <w:proofErr w:type="spellStart"/>
      <w:r w:rsidRPr="00384236">
        <w:rPr>
          <w:color w:val="000000"/>
        </w:rPr>
        <w:t>ул.Малахова</w:t>
      </w:r>
      <w:proofErr w:type="spellEnd"/>
      <w:r w:rsidRPr="00384236">
        <w:rPr>
          <w:color w:val="000000"/>
        </w:rPr>
        <w:t>, 177б;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>объект капитального стр</w:t>
      </w:r>
      <w:r>
        <w:rPr>
          <w:color w:val="000000"/>
        </w:rPr>
        <w:t xml:space="preserve">оительства «Спортивный комплекс </w:t>
      </w:r>
      <w:r w:rsidRPr="00384236">
        <w:rPr>
          <w:color w:val="000000"/>
        </w:rPr>
        <w:t xml:space="preserve">по адресу: </w:t>
      </w:r>
      <w:proofErr w:type="spellStart"/>
      <w:r w:rsidRPr="00384236">
        <w:rPr>
          <w:color w:val="000000"/>
        </w:rPr>
        <w:t>г.Барнаул</w:t>
      </w:r>
      <w:proofErr w:type="spellEnd"/>
      <w:r w:rsidRPr="00384236">
        <w:rPr>
          <w:color w:val="000000"/>
        </w:rPr>
        <w:t xml:space="preserve">, </w:t>
      </w:r>
      <w:proofErr w:type="spellStart"/>
      <w:r w:rsidRPr="00384236">
        <w:rPr>
          <w:color w:val="000000"/>
        </w:rPr>
        <w:t>р.п.Южный</w:t>
      </w:r>
      <w:proofErr w:type="spellEnd"/>
      <w:r w:rsidRPr="00384236">
        <w:rPr>
          <w:color w:val="000000"/>
        </w:rPr>
        <w:t>, ул.Мусоргского,22»;</w:t>
      </w:r>
    </w:p>
    <w:p w:rsidR="002979BA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ледовой арены с искусственным льдом по </w:t>
      </w:r>
      <w:proofErr w:type="gramStart"/>
      <w:r w:rsidRPr="00384236">
        <w:rPr>
          <w:color w:val="000000"/>
        </w:rPr>
        <w:t xml:space="preserve">адресу:   </w:t>
      </w:r>
      <w:proofErr w:type="gramEnd"/>
      <w:r w:rsidRPr="00384236">
        <w:rPr>
          <w:color w:val="000000"/>
        </w:rPr>
        <w:t xml:space="preserve">                           г. Барнаул, ул. Юрина, 287.</w:t>
      </w:r>
    </w:p>
    <w:p w:rsidR="002979BA" w:rsidRDefault="002979BA" w:rsidP="002979BA">
      <w:pPr>
        <w:ind w:firstLine="851"/>
        <w:jc w:val="both"/>
        <w:rPr>
          <w:color w:val="000000"/>
        </w:rPr>
      </w:pPr>
      <w:r w:rsidRPr="0073255A">
        <w:rPr>
          <w:color w:val="000000"/>
        </w:rPr>
        <w:t xml:space="preserve">Дополнительно подана заявка на капитальный ремонт социально-значимых объектов в 2025 году: </w:t>
      </w:r>
      <w:r w:rsidRPr="00384236">
        <w:rPr>
          <w:color w:val="000000"/>
        </w:rPr>
        <w:t>«Капитальный ремонт напольного покрытия универсального игрового</w:t>
      </w:r>
      <w:r>
        <w:rPr>
          <w:color w:val="000000"/>
        </w:rPr>
        <w:t xml:space="preserve"> зала </w:t>
      </w:r>
      <w:r w:rsidRPr="00384236">
        <w:rPr>
          <w:color w:val="000000"/>
        </w:rPr>
        <w:t xml:space="preserve">с монтажом и нанесением </w:t>
      </w:r>
      <w:proofErr w:type="gramStart"/>
      <w:r w:rsidRPr="00384236">
        <w:rPr>
          <w:color w:val="000000"/>
        </w:rPr>
        <w:t>разметки  по</w:t>
      </w:r>
      <w:proofErr w:type="gramEnd"/>
      <w:r w:rsidRPr="00384236">
        <w:rPr>
          <w:color w:val="000000"/>
        </w:rPr>
        <w:t xml:space="preserve"> адресу: </w:t>
      </w:r>
      <w:proofErr w:type="spellStart"/>
      <w:r w:rsidRPr="00384236">
        <w:rPr>
          <w:color w:val="000000"/>
        </w:rPr>
        <w:t>г.Барнаул</w:t>
      </w:r>
      <w:proofErr w:type="spellEnd"/>
      <w:r w:rsidRPr="00384236">
        <w:rPr>
          <w:color w:val="000000"/>
        </w:rPr>
        <w:t xml:space="preserve">, ул. Антона Петрова 146г»  и «Капитальный ремонт искусственного покрытия футбольного поля и беговых дорожек с разметкой расположенного по  адресу: </w:t>
      </w:r>
      <w:proofErr w:type="spellStart"/>
      <w:r w:rsidRPr="00384236">
        <w:rPr>
          <w:color w:val="000000"/>
        </w:rPr>
        <w:t>г.Барнаул</w:t>
      </w:r>
      <w:proofErr w:type="spellEnd"/>
      <w:r w:rsidRPr="00384236">
        <w:rPr>
          <w:color w:val="000000"/>
        </w:rPr>
        <w:t xml:space="preserve">, </w:t>
      </w:r>
      <w:proofErr w:type="spellStart"/>
      <w:r w:rsidRPr="00384236">
        <w:rPr>
          <w:color w:val="000000"/>
        </w:rPr>
        <w:t>ул.Юрина</w:t>
      </w:r>
      <w:proofErr w:type="spellEnd"/>
      <w:r w:rsidRPr="00384236">
        <w:rPr>
          <w:color w:val="000000"/>
        </w:rPr>
        <w:t>, 197».</w:t>
      </w:r>
    </w:p>
    <w:p w:rsidR="002979BA" w:rsidRDefault="002979BA" w:rsidP="002979BA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Во 2 квартале вышло распоряжение Правительства Алтайского края о передаче в муниципальную собственность спортивного зала с </w:t>
      </w:r>
      <w:proofErr w:type="gramStart"/>
      <w:r>
        <w:rPr>
          <w:color w:val="000000"/>
        </w:rPr>
        <w:t>инфраструктурой  по</w:t>
      </w:r>
      <w:proofErr w:type="gramEnd"/>
      <w:r>
        <w:rPr>
          <w:color w:val="000000"/>
        </w:rPr>
        <w:t xml:space="preserve"> адресу: </w:t>
      </w:r>
      <w:proofErr w:type="spellStart"/>
      <w:r>
        <w:rPr>
          <w:color w:val="000000"/>
        </w:rPr>
        <w:t>пр-кт</w:t>
      </w:r>
      <w:proofErr w:type="spellEnd"/>
      <w:r>
        <w:rPr>
          <w:color w:val="000000"/>
        </w:rPr>
        <w:t xml:space="preserve"> Космонавтов, 8.</w:t>
      </w:r>
    </w:p>
    <w:p w:rsidR="002979BA" w:rsidRPr="006E6FC8" w:rsidRDefault="002979BA" w:rsidP="002979BA">
      <w:pPr>
        <w:ind w:firstLine="851"/>
        <w:jc w:val="both"/>
        <w:rPr>
          <w:b/>
          <w:color w:val="000000"/>
        </w:rPr>
      </w:pPr>
    </w:p>
    <w:p w:rsidR="002979BA" w:rsidRDefault="002979BA" w:rsidP="002979BA">
      <w:pPr>
        <w:ind w:firstLine="851"/>
        <w:jc w:val="both"/>
        <w:rPr>
          <w:b/>
          <w:color w:val="000000"/>
        </w:rPr>
      </w:pPr>
      <w:r w:rsidRPr="006E6FC8">
        <w:rPr>
          <w:b/>
          <w:color w:val="000000"/>
        </w:rPr>
        <w:t>Финансирование отрасли:</w:t>
      </w:r>
    </w:p>
    <w:p w:rsidR="002979BA" w:rsidRPr="006E6FC8" w:rsidRDefault="002979BA" w:rsidP="002979BA">
      <w:pPr>
        <w:ind w:firstLine="708"/>
        <w:jc w:val="both"/>
      </w:pPr>
      <w:r w:rsidRPr="006E6FC8">
        <w:t xml:space="preserve">По состоянию на 01.07.2024 Комитету по физической культуре и спорту города Барнаула предусмотрено лимитов бюджетных обязательств на сумму 592,2 млн рублей (за счет средств городского </w:t>
      </w:r>
      <w:r>
        <w:t xml:space="preserve">бюджета – </w:t>
      </w:r>
      <w:r w:rsidRPr="006E6FC8">
        <w:t>505,2 млн рублей, за счет средств краевого бюджета 87,0 млн рублей), в том числе на спортивные школы 546,2 млн рублей (за счет средств городского бюджета – 459,6 млн. рублей, за счет средств краевого бюджета 86,6 млн рублей), на Центр спортивно-массовой работы и тестирования ГТО 24,6 млн рублей (за счет средств городского бюджета – 24,2 млн. рублей, за счет средств краевого бюджета 0,4 млн. рублей).</w:t>
      </w:r>
    </w:p>
    <w:p w:rsidR="002979BA" w:rsidRPr="008C6821" w:rsidRDefault="002979BA" w:rsidP="002979BA">
      <w:pPr>
        <w:ind w:firstLine="708"/>
        <w:jc w:val="both"/>
        <w:rPr>
          <w:color w:val="000000"/>
        </w:rPr>
      </w:pPr>
      <w:r w:rsidRPr="008C6821">
        <w:rPr>
          <w:color w:val="000000"/>
        </w:rPr>
        <w:t xml:space="preserve">Средняя заработная плата педагогических работников на 01.07.2024 составляет 55 459,56 рублей, что выше средней заработной платы аналогичного периода 2023 года (54 978,95 рублей) на 0,8%. </w:t>
      </w:r>
    </w:p>
    <w:p w:rsidR="002979BA" w:rsidRPr="008C6821" w:rsidRDefault="002979BA" w:rsidP="002979BA">
      <w:pPr>
        <w:ind w:firstLine="708"/>
        <w:jc w:val="both"/>
        <w:rPr>
          <w:color w:val="000000"/>
        </w:rPr>
      </w:pPr>
      <w:r w:rsidRPr="008C6821">
        <w:rPr>
          <w:color w:val="000000"/>
        </w:rPr>
        <w:lastRenderedPageBreak/>
        <w:t>По сравнению с итоговым значением 2023 года (</w:t>
      </w:r>
      <w:r w:rsidRPr="008C6821">
        <w:t xml:space="preserve">48 998,94 </w:t>
      </w:r>
      <w:r w:rsidRPr="008C6821">
        <w:rPr>
          <w:color w:val="000000"/>
        </w:rPr>
        <w:t>рублей) рост составил 13,2%.</w:t>
      </w:r>
    </w:p>
    <w:p w:rsidR="002979BA" w:rsidRPr="006E6FC8" w:rsidRDefault="002979BA" w:rsidP="002979BA">
      <w:pPr>
        <w:ind w:firstLine="708"/>
        <w:jc w:val="both"/>
        <w:rPr>
          <w:b/>
          <w:color w:val="000000"/>
        </w:rPr>
      </w:pPr>
      <w:r w:rsidRPr="008C6821">
        <w:rPr>
          <w:color w:val="000000"/>
        </w:rPr>
        <w:t>Краевые средства на поддержку спортивных организаций и обеспечение уровня финансирования организаций осуществляющих спортивную подготовку в соответствии с требованиями федеральных стандартов (приобретение спорти</w:t>
      </w:r>
      <w:r>
        <w:rPr>
          <w:color w:val="000000"/>
        </w:rPr>
        <w:t xml:space="preserve">вного оборудования и инвентаря) </w:t>
      </w:r>
      <w:r w:rsidRPr="008C6821">
        <w:rPr>
          <w:color w:val="000000"/>
        </w:rPr>
        <w:t>на 01.07.2024 не доведены. Заявка на субсидии направлена в Министерство спорта Алтайского края 14.06.2024. Дополнительно 09.07.2024 направлен перечень необходимого спортивного оборудования и инвентаря.</w:t>
      </w:r>
      <w:r w:rsidRPr="006E6FC8">
        <w:rPr>
          <w:b/>
          <w:color w:val="000000"/>
        </w:rPr>
        <w:t xml:space="preserve"> </w:t>
      </w:r>
    </w:p>
    <w:p w:rsidR="002979BA" w:rsidRPr="006E6FC8" w:rsidRDefault="002979BA" w:rsidP="002979BA">
      <w:pPr>
        <w:ind w:firstLine="708"/>
        <w:jc w:val="both"/>
      </w:pPr>
      <w:r w:rsidRPr="006E6FC8">
        <w:t xml:space="preserve">Вместе с тем из краевой собственности в муниципальную по состоянию на 01.07.2024 передано оборудования для </w:t>
      </w:r>
      <w:r>
        <w:t xml:space="preserve">МАУ «Центр спортивно-массовой работы и тестирования ВФСК </w:t>
      </w:r>
      <w:r w:rsidRPr="006E6FC8">
        <w:t>ГТО</w:t>
      </w:r>
      <w:r>
        <w:t>»»</w:t>
      </w:r>
      <w:r w:rsidRPr="006E6FC8">
        <w:t xml:space="preserve"> на сумму 136,9 тыс. рублей. </w:t>
      </w:r>
    </w:p>
    <w:p w:rsidR="002979BA" w:rsidRPr="006E6FC8" w:rsidRDefault="002979BA" w:rsidP="002979BA">
      <w:pPr>
        <w:ind w:firstLine="708"/>
        <w:jc w:val="both"/>
      </w:pPr>
      <w:r w:rsidRPr="006E6FC8">
        <w:t>Оформляются документы по передаче оборудования для отделения «</w:t>
      </w:r>
      <w:proofErr w:type="spellStart"/>
      <w:r w:rsidRPr="006E6FC8">
        <w:t>чир</w:t>
      </w:r>
      <w:proofErr w:type="spellEnd"/>
      <w:r w:rsidRPr="006E6FC8">
        <w:t>-спорт» МБУ ДО «Спортивная школ №9» на сумму 323,0 тыс. рублей, для отделения «спортивная борьба» МБУ ДО «Спортивная школа №6» на сумму 358,6 тыс. рублей.</w:t>
      </w:r>
    </w:p>
    <w:p w:rsidR="002979BA" w:rsidRPr="008C6821" w:rsidRDefault="002979BA" w:rsidP="002979BA">
      <w:pPr>
        <w:ind w:firstLine="708"/>
        <w:jc w:val="both"/>
      </w:pPr>
      <w:r w:rsidRPr="008C6821">
        <w:t xml:space="preserve">По состоянию на 01.07.2024 года в подведомственные комитету муниципальные учреждения поступили средства от предпринимательской и иной приносящей доход деятельности в размере 18 214,7 тыс. рублей, в том числе от оказания платных услуг (работ), использования имущества, находящегося в муниципальной собственности – 17 002,6 тыс. рублей, за аналогичный период </w:t>
      </w:r>
      <w:r>
        <w:t xml:space="preserve">    </w:t>
      </w:r>
      <w:r w:rsidRPr="008C6821">
        <w:t xml:space="preserve">2023 года поступления составили 16 349,3 тыс. рублей, в том числе от оказания платных услуг (работ), использования имущества, находящегося в муниципальной собственности -  15 428,4 тыс. рублей. Рост от поступлений составил 11,4%, при этом от оказания платных услуг (работ), использования имущества, находящегося в муниципальной собственности </w:t>
      </w:r>
      <w:proofErr w:type="gramStart"/>
      <w:r w:rsidRPr="008C6821">
        <w:t>доходы</w:t>
      </w:r>
      <w:proofErr w:type="gramEnd"/>
      <w:r w:rsidRPr="008C6821">
        <w:t xml:space="preserve"> выросли на 10,2%.</w:t>
      </w:r>
    </w:p>
    <w:p w:rsidR="002979BA" w:rsidRDefault="002979BA" w:rsidP="002979BA">
      <w:pPr>
        <w:ind w:firstLine="708"/>
        <w:jc w:val="both"/>
      </w:pPr>
      <w:r w:rsidRPr="008C6821">
        <w:t xml:space="preserve">Расход за счет внебюджетных источников на фонд оплаты труда составил </w:t>
      </w:r>
      <w:r>
        <w:t xml:space="preserve">     </w:t>
      </w:r>
      <w:r w:rsidRPr="008C6821">
        <w:t xml:space="preserve">7,5 млн рублей (от расхода 48,4%) (из них 3,9 млн. рублей на педагогических работников), за аналогичный период 2023 года на фонд оплаты труда направлено </w:t>
      </w:r>
      <w:r>
        <w:t xml:space="preserve">   </w:t>
      </w:r>
      <w:r w:rsidRPr="008C6821">
        <w:t>6,9 млн рублей (от расхода 47,0%) (из них 4 млн рублей на тренерский состав). Объем денежных средств, направленных на выплату заработной</w:t>
      </w:r>
      <w:r w:rsidRPr="005149C4">
        <w:t xml:space="preserve"> </w:t>
      </w:r>
      <w:r w:rsidRPr="008C6821">
        <w:t>платы, в сравнении с аналогичным периодом 2023 года увеличился на 8,7%.</w:t>
      </w:r>
    </w:p>
    <w:p w:rsidR="002979BA" w:rsidRDefault="002979BA" w:rsidP="002979BA">
      <w:pPr>
        <w:ind w:firstLine="708"/>
        <w:jc w:val="both"/>
      </w:pPr>
      <w:r>
        <w:t xml:space="preserve">Проект бюджета на 2025 год и плановый период сформирован и направлен в комитет по финансам, налоговой и кредитной политике. </w:t>
      </w:r>
    </w:p>
    <w:p w:rsidR="002979BA" w:rsidRPr="008C6821" w:rsidRDefault="002979BA" w:rsidP="002979BA">
      <w:pPr>
        <w:ind w:firstLine="708"/>
        <w:jc w:val="both"/>
      </w:pPr>
      <w:r>
        <w:t xml:space="preserve">Потребность на 2025 год составляет </w:t>
      </w:r>
    </w:p>
    <w:p w:rsidR="002979BA" w:rsidRPr="003011A1" w:rsidRDefault="002979BA" w:rsidP="002979BA">
      <w:pPr>
        <w:ind w:firstLine="709"/>
        <w:jc w:val="both"/>
        <w:rPr>
          <w:b/>
          <w:color w:val="FF0000"/>
        </w:rPr>
      </w:pPr>
    </w:p>
    <w:p w:rsidR="002979BA" w:rsidRDefault="002979BA" w:rsidP="002979BA">
      <w:pPr>
        <w:ind w:firstLine="708"/>
        <w:jc w:val="both"/>
        <w:rPr>
          <w:b/>
        </w:rPr>
      </w:pPr>
      <w:r w:rsidRPr="00382869">
        <w:rPr>
          <w:b/>
        </w:rPr>
        <w:t xml:space="preserve">Задачи на </w:t>
      </w:r>
      <w:r>
        <w:rPr>
          <w:b/>
        </w:rPr>
        <w:t xml:space="preserve">3 квартал </w:t>
      </w:r>
      <w:r w:rsidRPr="00382869">
        <w:rPr>
          <w:b/>
        </w:rPr>
        <w:t>202</w:t>
      </w:r>
      <w:r>
        <w:rPr>
          <w:b/>
        </w:rPr>
        <w:t>4</w:t>
      </w:r>
      <w:r w:rsidRPr="00382869">
        <w:rPr>
          <w:b/>
        </w:rPr>
        <w:t xml:space="preserve"> год</w:t>
      </w:r>
      <w:r>
        <w:rPr>
          <w:b/>
        </w:rPr>
        <w:t>а</w:t>
      </w:r>
      <w:r w:rsidRPr="00382869">
        <w:rPr>
          <w:b/>
        </w:rPr>
        <w:t>:</w:t>
      </w:r>
    </w:p>
    <w:p w:rsidR="002979BA" w:rsidRDefault="002979BA" w:rsidP="002979BA">
      <w:pPr>
        <w:ind w:firstLine="708"/>
        <w:jc w:val="both"/>
        <w:rPr>
          <w:color w:val="000000"/>
        </w:rPr>
      </w:pPr>
      <w:r>
        <w:rPr>
          <w:rFonts w:eastAsia="Calibri"/>
          <w:lang w:eastAsia="en-US"/>
        </w:rPr>
        <w:t xml:space="preserve">1. Подготовка </w:t>
      </w:r>
      <w:r w:rsidRPr="001C47F3">
        <w:rPr>
          <w:rFonts w:eastAsia="Calibri"/>
          <w:lang w:eastAsia="en-US"/>
        </w:rPr>
        <w:t>учреждений</w:t>
      </w:r>
      <w:r w:rsidRPr="001C47F3">
        <w:t xml:space="preserve"> </w:t>
      </w:r>
      <w:r w:rsidRPr="001C47F3">
        <w:rPr>
          <w:rFonts w:eastAsia="Calibri"/>
          <w:lang w:eastAsia="en-US"/>
        </w:rPr>
        <w:t>дополнительного образования, подведомственных комитету по физической культуре и спорту города Барнаула</w:t>
      </w:r>
      <w:r>
        <w:rPr>
          <w:rFonts w:eastAsia="Calibri"/>
          <w:lang w:eastAsia="en-US"/>
        </w:rPr>
        <w:t xml:space="preserve">, </w:t>
      </w:r>
      <w:r w:rsidRPr="001C47F3">
        <w:rPr>
          <w:rFonts w:eastAsia="Calibri"/>
          <w:lang w:eastAsia="en-US"/>
        </w:rPr>
        <w:t xml:space="preserve">к новому </w:t>
      </w:r>
      <w:r>
        <w:rPr>
          <w:rFonts w:eastAsia="Calibri"/>
          <w:lang w:eastAsia="en-US"/>
        </w:rPr>
        <w:t xml:space="preserve">                 </w:t>
      </w:r>
      <w:r w:rsidRPr="001C47F3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1C47F3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5</w:t>
      </w:r>
      <w:r w:rsidRPr="001C47F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учебному году, </w:t>
      </w:r>
      <w:r>
        <w:rPr>
          <w:color w:val="000000"/>
        </w:rPr>
        <w:t>в том числе обеспечение антитеррористической защищенности объектов спорта.</w:t>
      </w:r>
    </w:p>
    <w:p w:rsidR="002979BA" w:rsidRPr="000955DA" w:rsidRDefault="002979BA" w:rsidP="002979BA">
      <w:pPr>
        <w:pStyle w:val="a6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tab/>
        <w:t xml:space="preserve">2. Реализация Единого календарного плана официальных муниципальных физкультурных и спортивных мероприятий города Барнаула, в том числе подготовка и проведение Дня физкультурника, Дня города.   </w:t>
      </w:r>
    </w:p>
    <w:p w:rsidR="002979BA" w:rsidRDefault="002979BA" w:rsidP="002979BA">
      <w:pPr>
        <w:pStyle w:val="a6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0955DA">
        <w:rPr>
          <w:color w:val="000000"/>
        </w:rPr>
        <w:t>Выполнению индикативных показателей, по заработной плате педагогических раб</w:t>
      </w:r>
      <w:r>
        <w:rPr>
          <w:color w:val="000000"/>
        </w:rPr>
        <w:t>отников в 3 квартале 2024 года.</w:t>
      </w:r>
    </w:p>
    <w:p w:rsidR="002979BA" w:rsidRDefault="002979BA" w:rsidP="002979BA">
      <w:pPr>
        <w:pStyle w:val="a6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4. Работа с инвесторами по развитию спортивной инфраструктуры.</w:t>
      </w:r>
    </w:p>
    <w:p w:rsidR="002979BA" w:rsidRPr="00963A0F" w:rsidRDefault="002979BA" w:rsidP="002979BA">
      <w:pPr>
        <w:pStyle w:val="a6"/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rPr>
          <w:color w:val="000000"/>
        </w:rPr>
        <w:t xml:space="preserve">5. </w:t>
      </w:r>
      <w:r w:rsidRPr="00963A0F">
        <w:rPr>
          <w:color w:val="000000"/>
        </w:rPr>
        <w:t xml:space="preserve">Заключение соглашения </w:t>
      </w:r>
      <w:r>
        <w:rPr>
          <w:color w:val="000000"/>
        </w:rPr>
        <w:t xml:space="preserve">с Министерством спорта Алтайского края </w:t>
      </w:r>
      <w:r w:rsidRPr="00963A0F">
        <w:rPr>
          <w:color w:val="000000"/>
        </w:rPr>
        <w:t>о предоставлении межбюджетных трансфертов на приобретение спортивного оборудования, инвентаря и экипировки.</w:t>
      </w:r>
    </w:p>
    <w:p w:rsidR="00852166" w:rsidRDefault="00852166" w:rsidP="00757DF8">
      <w:pPr>
        <w:jc w:val="both"/>
      </w:pPr>
    </w:p>
    <w:p w:rsidR="00852166" w:rsidRDefault="00852166" w:rsidP="00757DF8">
      <w:pPr>
        <w:jc w:val="both"/>
      </w:pPr>
    </w:p>
    <w:p w:rsidR="00757DF8" w:rsidRPr="007C6163" w:rsidRDefault="00757DF8" w:rsidP="00757DF8">
      <w:pPr>
        <w:jc w:val="both"/>
      </w:pPr>
      <w:r w:rsidRPr="007C6163">
        <w:t xml:space="preserve">Председатель комитета                                                                        </w:t>
      </w:r>
      <w:r>
        <w:t xml:space="preserve">     </w:t>
      </w:r>
      <w:r w:rsidRPr="007C6163">
        <w:t>П.И.</w:t>
      </w:r>
      <w:r>
        <w:t xml:space="preserve"> </w:t>
      </w:r>
      <w:r w:rsidRPr="007C6163">
        <w:t>Кобзаренко</w:t>
      </w:r>
    </w:p>
    <w:p w:rsidR="00757DF8" w:rsidRPr="00382869" w:rsidRDefault="00757DF8" w:rsidP="00757DF8">
      <w:pPr>
        <w:jc w:val="both"/>
      </w:pPr>
    </w:p>
    <w:p w:rsidR="00757DF8" w:rsidRPr="00174378" w:rsidRDefault="00757DF8" w:rsidP="00757DF8">
      <w:pPr>
        <w:ind w:firstLine="567"/>
        <w:jc w:val="both"/>
        <w:rPr>
          <w:rFonts w:eastAsia="Calibri"/>
          <w:lang w:eastAsia="en-US"/>
        </w:rPr>
      </w:pPr>
      <w:r>
        <w:rPr>
          <w:sz w:val="24"/>
        </w:rPr>
        <w:t xml:space="preserve"> </w:t>
      </w:r>
    </w:p>
    <w:p w:rsidR="00757DF8" w:rsidRPr="00757DF8" w:rsidRDefault="00757DF8" w:rsidP="009648DA">
      <w:pPr>
        <w:ind w:firstLine="708"/>
        <w:jc w:val="both"/>
        <w:rPr>
          <w:b/>
          <w:color w:val="000000"/>
        </w:rPr>
      </w:pPr>
    </w:p>
    <w:p w:rsidR="009648DA" w:rsidRDefault="009648DA" w:rsidP="001658FF">
      <w:pPr>
        <w:ind w:firstLine="709"/>
        <w:jc w:val="both"/>
        <w:rPr>
          <w:rFonts w:eastAsia="Calibri"/>
          <w:lang w:eastAsia="en-US"/>
        </w:rPr>
      </w:pPr>
    </w:p>
    <w:p w:rsidR="001658FF" w:rsidRDefault="001658FF" w:rsidP="00606639">
      <w:pPr>
        <w:pStyle w:val="wP2"/>
        <w:ind w:firstLine="709"/>
        <w:rPr>
          <w:sz w:val="28"/>
          <w:szCs w:val="28"/>
        </w:rPr>
      </w:pPr>
    </w:p>
    <w:p w:rsidR="00606639" w:rsidRPr="0041134B" w:rsidRDefault="00606639" w:rsidP="00D36BE5">
      <w:pPr>
        <w:ind w:firstLine="567"/>
        <w:jc w:val="both"/>
        <w:rPr>
          <w:rFonts w:eastAsia="Calibri"/>
          <w:lang w:eastAsia="en-US"/>
        </w:rPr>
      </w:pPr>
    </w:p>
    <w:p w:rsidR="00D36BE5" w:rsidRPr="00382869" w:rsidRDefault="00D36BE5" w:rsidP="00D36BE5">
      <w:pPr>
        <w:pStyle w:val="wP2"/>
        <w:ind w:firstLine="0"/>
        <w:rPr>
          <w:color w:val="000000"/>
          <w:sz w:val="28"/>
          <w:szCs w:val="28"/>
          <w:lang w:eastAsia="ru-RU"/>
        </w:rPr>
      </w:pPr>
    </w:p>
    <w:p w:rsidR="00D36BE5" w:rsidRPr="00174378" w:rsidRDefault="00D36BE5" w:rsidP="00D36BE5">
      <w:pPr>
        <w:jc w:val="both"/>
        <w:rPr>
          <w:sz w:val="24"/>
        </w:rPr>
      </w:pPr>
    </w:p>
    <w:p w:rsidR="00D36BE5" w:rsidRDefault="00D36BE5" w:rsidP="00D36BE5">
      <w:pPr>
        <w:ind w:firstLine="567"/>
        <w:jc w:val="both"/>
      </w:pPr>
    </w:p>
    <w:p w:rsidR="00D36BE5" w:rsidRDefault="00D36BE5" w:rsidP="00D36BE5"/>
    <w:p w:rsidR="00D36BE5" w:rsidRDefault="00D36BE5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Гусева Светлана Андреевна</w:t>
      </w:r>
    </w:p>
    <w:p w:rsidR="00852166" w:rsidRDefault="00852166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371907</w:t>
      </w:r>
    </w:p>
    <w:p w:rsidR="00852166" w:rsidRPr="00737215" w:rsidRDefault="00852166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15.07.2024</w:t>
      </w:r>
    </w:p>
    <w:sectPr w:rsidR="00852166" w:rsidRPr="00737215" w:rsidSect="002979B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BA" w:rsidRDefault="002979BA" w:rsidP="002979BA">
      <w:r>
        <w:separator/>
      </w:r>
    </w:p>
  </w:endnote>
  <w:endnote w:type="continuationSeparator" w:id="0">
    <w:p w:rsidR="002979BA" w:rsidRDefault="002979BA" w:rsidP="002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BA" w:rsidRDefault="002979BA" w:rsidP="002979BA">
      <w:r>
        <w:separator/>
      </w:r>
    </w:p>
  </w:footnote>
  <w:footnote w:type="continuationSeparator" w:id="0">
    <w:p w:rsidR="002979BA" w:rsidRDefault="002979BA" w:rsidP="0029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399107"/>
      <w:docPartObj>
        <w:docPartGallery w:val="Page Numbers (Top of Page)"/>
        <w:docPartUnique/>
      </w:docPartObj>
    </w:sdtPr>
    <w:sdtEndPr/>
    <w:sdtContent>
      <w:p w:rsidR="002979BA" w:rsidRDefault="002979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00">
          <w:rPr>
            <w:noProof/>
          </w:rPr>
          <w:t>11</w:t>
        </w:r>
        <w:r>
          <w:fldChar w:fldCharType="end"/>
        </w:r>
      </w:p>
    </w:sdtContent>
  </w:sdt>
  <w:p w:rsidR="002979BA" w:rsidRDefault="002979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10FA"/>
    <w:multiLevelType w:val="hybridMultilevel"/>
    <w:tmpl w:val="10D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8CC"/>
    <w:multiLevelType w:val="hybridMultilevel"/>
    <w:tmpl w:val="D1B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5411"/>
    <w:multiLevelType w:val="hybridMultilevel"/>
    <w:tmpl w:val="7A00B596"/>
    <w:lvl w:ilvl="0" w:tplc="543A938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567B7C01"/>
    <w:multiLevelType w:val="hybridMultilevel"/>
    <w:tmpl w:val="26E2003A"/>
    <w:lvl w:ilvl="0" w:tplc="50983B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A51C9"/>
    <w:multiLevelType w:val="hybridMultilevel"/>
    <w:tmpl w:val="C77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D"/>
    <w:rsid w:val="00001A27"/>
    <w:rsid w:val="00004EF7"/>
    <w:rsid w:val="000664FF"/>
    <w:rsid w:val="00074DD8"/>
    <w:rsid w:val="00081CBD"/>
    <w:rsid w:val="00097001"/>
    <w:rsid w:val="000A4824"/>
    <w:rsid w:val="000C775B"/>
    <w:rsid w:val="000F62F4"/>
    <w:rsid w:val="00121419"/>
    <w:rsid w:val="0012261C"/>
    <w:rsid w:val="001658FF"/>
    <w:rsid w:val="00206040"/>
    <w:rsid w:val="0022217A"/>
    <w:rsid w:val="0022681C"/>
    <w:rsid w:val="00273121"/>
    <w:rsid w:val="002979BA"/>
    <w:rsid w:val="002A271C"/>
    <w:rsid w:val="002C1022"/>
    <w:rsid w:val="00320E44"/>
    <w:rsid w:val="003C4F8A"/>
    <w:rsid w:val="003F506C"/>
    <w:rsid w:val="0042441A"/>
    <w:rsid w:val="00435A97"/>
    <w:rsid w:val="004614F7"/>
    <w:rsid w:val="00482CEF"/>
    <w:rsid w:val="00484A1F"/>
    <w:rsid w:val="005066DD"/>
    <w:rsid w:val="00530616"/>
    <w:rsid w:val="0060410A"/>
    <w:rsid w:val="00606639"/>
    <w:rsid w:val="00641AA1"/>
    <w:rsid w:val="00652246"/>
    <w:rsid w:val="006A535E"/>
    <w:rsid w:val="006C75E2"/>
    <w:rsid w:val="006F62E1"/>
    <w:rsid w:val="00737215"/>
    <w:rsid w:val="00737C2F"/>
    <w:rsid w:val="00752093"/>
    <w:rsid w:val="00757DF8"/>
    <w:rsid w:val="00775384"/>
    <w:rsid w:val="007E4300"/>
    <w:rsid w:val="007F210E"/>
    <w:rsid w:val="00807202"/>
    <w:rsid w:val="008422CD"/>
    <w:rsid w:val="00847B59"/>
    <w:rsid w:val="0085082C"/>
    <w:rsid w:val="00852166"/>
    <w:rsid w:val="008A5315"/>
    <w:rsid w:val="008C0554"/>
    <w:rsid w:val="008D1042"/>
    <w:rsid w:val="00910FC2"/>
    <w:rsid w:val="009520CD"/>
    <w:rsid w:val="009648DA"/>
    <w:rsid w:val="0096662F"/>
    <w:rsid w:val="00976BF5"/>
    <w:rsid w:val="009E119E"/>
    <w:rsid w:val="009E61AA"/>
    <w:rsid w:val="009F5DAE"/>
    <w:rsid w:val="009F6A3A"/>
    <w:rsid w:val="00A63217"/>
    <w:rsid w:val="00A6665E"/>
    <w:rsid w:val="00A8447C"/>
    <w:rsid w:val="00B2659F"/>
    <w:rsid w:val="00B41409"/>
    <w:rsid w:val="00B62459"/>
    <w:rsid w:val="00BC649E"/>
    <w:rsid w:val="00BD0F60"/>
    <w:rsid w:val="00BD4F84"/>
    <w:rsid w:val="00C974FB"/>
    <w:rsid w:val="00CD6853"/>
    <w:rsid w:val="00CE21D2"/>
    <w:rsid w:val="00CF18F7"/>
    <w:rsid w:val="00D16BA4"/>
    <w:rsid w:val="00D36BE5"/>
    <w:rsid w:val="00D64369"/>
    <w:rsid w:val="00D64C2D"/>
    <w:rsid w:val="00D713FB"/>
    <w:rsid w:val="00D962AD"/>
    <w:rsid w:val="00DA28C2"/>
    <w:rsid w:val="00DB7E8C"/>
    <w:rsid w:val="00DC7B34"/>
    <w:rsid w:val="00DD30C3"/>
    <w:rsid w:val="00DE7275"/>
    <w:rsid w:val="00DF05E3"/>
    <w:rsid w:val="00E84097"/>
    <w:rsid w:val="00E86699"/>
    <w:rsid w:val="00EE53A8"/>
    <w:rsid w:val="00F003AA"/>
    <w:rsid w:val="00F17894"/>
    <w:rsid w:val="00F32509"/>
    <w:rsid w:val="00F35A1E"/>
    <w:rsid w:val="00F72DE6"/>
    <w:rsid w:val="00F75AFC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22E5-1847-4F37-BA14-E568D46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84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C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4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64C2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37215"/>
    <w:pPr>
      <w:spacing w:after="0" w:line="240" w:lineRule="auto"/>
    </w:pPr>
  </w:style>
  <w:style w:type="character" w:customStyle="1" w:styleId="wT1">
    <w:name w:val="wT1"/>
    <w:rsid w:val="00737215"/>
  </w:style>
  <w:style w:type="paragraph" w:customStyle="1" w:styleId="wP2">
    <w:name w:val="wP2"/>
    <w:basedOn w:val="a"/>
    <w:uiPriority w:val="99"/>
    <w:rsid w:val="00737215"/>
    <w:pPr>
      <w:widowControl w:val="0"/>
      <w:suppressAutoHyphens/>
      <w:spacing w:line="285" w:lineRule="atLeast"/>
      <w:ind w:firstLine="450"/>
      <w:jc w:val="both"/>
    </w:pPr>
    <w:rPr>
      <w:sz w:val="24"/>
      <w:szCs w:val="24"/>
      <w:lang w:eastAsia="hi-IN" w:bidi="hi-IN"/>
    </w:rPr>
  </w:style>
  <w:style w:type="character" w:customStyle="1" w:styleId="cfs">
    <w:name w:val="cfs"/>
    <w:basedOn w:val="a0"/>
    <w:rsid w:val="00D36BE5"/>
  </w:style>
  <w:style w:type="paragraph" w:styleId="a9">
    <w:name w:val="header"/>
    <w:basedOn w:val="a"/>
    <w:link w:val="aa"/>
    <w:uiPriority w:val="99"/>
    <w:unhideWhenUsed/>
    <w:rsid w:val="002979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979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9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7</cp:revision>
  <cp:lastPrinted>2024-07-17T06:03:00Z</cp:lastPrinted>
  <dcterms:created xsi:type="dcterms:W3CDTF">2024-07-17T02:09:00Z</dcterms:created>
  <dcterms:modified xsi:type="dcterms:W3CDTF">2024-07-19T01:17:00Z</dcterms:modified>
</cp:coreProperties>
</file>