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193C66" w:rsidRDefault="00C0217F" w:rsidP="00DD0439">
      <w:pPr>
        <w:pStyle w:val="1"/>
        <w:spacing w:before="0" w:line="310" w:lineRule="exact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DD0439">
      <w:pPr>
        <w:pStyle w:val="1"/>
        <w:spacing w:before="0" w:line="310" w:lineRule="exact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193C66" w:rsidRDefault="007B5492" w:rsidP="00DD0439">
      <w:pPr>
        <w:pStyle w:val="ConsPlusNormal"/>
        <w:spacing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C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0E2FB3" w:rsidRPr="00193C66">
        <w:rPr>
          <w:rFonts w:ascii="Times New Roman" w:hAnsi="Times New Roman" w:cs="Times New Roman"/>
          <w:sz w:val="28"/>
          <w:szCs w:val="28"/>
        </w:rPr>
        <w:t>«</w:t>
      </w:r>
      <w:r w:rsidR="00193C66" w:rsidRPr="00193C66">
        <w:rPr>
          <w:rFonts w:ascii="Times New Roman" w:hAnsi="Times New Roman" w:cs="Times New Roman"/>
          <w:sz w:val="28"/>
          <w:szCs w:val="28"/>
        </w:rPr>
        <w:t>О внесении изменения и дополнения</w:t>
      </w:r>
    </w:p>
    <w:p w:rsidR="007B5492" w:rsidRPr="00193C66" w:rsidRDefault="00193C66" w:rsidP="00DD0439">
      <w:pPr>
        <w:pStyle w:val="ConsPlusNormal"/>
        <w:spacing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C66"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193C66">
        <w:rPr>
          <w:rFonts w:ascii="Times New Roman" w:hAnsi="Times New Roman" w:cs="Times New Roman"/>
          <w:sz w:val="28"/>
          <w:szCs w:val="28"/>
        </w:rPr>
        <w:t xml:space="preserve"> от 23.07.2021 №1119)</w:t>
      </w:r>
    </w:p>
    <w:p w:rsidR="00C0217F" w:rsidRPr="000E2FB3" w:rsidRDefault="00C0217F" w:rsidP="00DD0439">
      <w:pPr>
        <w:spacing w:line="310" w:lineRule="exact"/>
        <w:ind w:firstLine="709"/>
      </w:pPr>
    </w:p>
    <w:p w:rsidR="007B5492" w:rsidRPr="006C79F2" w:rsidRDefault="007B5492" w:rsidP="00DD0439">
      <w:pPr>
        <w:pStyle w:val="af3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1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1720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6C79F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6C79F2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6C7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766D80" w:rsidRPr="006C79F2" w:rsidRDefault="007B5492" w:rsidP="00DD0439">
      <w:pPr>
        <w:pStyle w:val="ConsPlusNormal"/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79F2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6C79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79F2" w:rsidRPr="006C79F2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постановление администрации города </w:t>
      </w:r>
      <w:r w:rsidR="006C79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79F2" w:rsidRPr="006C79F2">
        <w:rPr>
          <w:rFonts w:ascii="Times New Roman" w:hAnsi="Times New Roman" w:cs="Times New Roman"/>
          <w:sz w:val="28"/>
          <w:szCs w:val="28"/>
        </w:rPr>
        <w:t xml:space="preserve">от 27.11.2020 №1905 «Об утверждении схемы размещения нестационарных торговых объектов на территории города Барнаула» (в редакции постановления </w:t>
      </w:r>
      <w:r w:rsidR="006C79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79F2" w:rsidRPr="006C79F2">
        <w:rPr>
          <w:rFonts w:ascii="Times New Roman" w:hAnsi="Times New Roman" w:cs="Times New Roman"/>
          <w:sz w:val="28"/>
          <w:szCs w:val="28"/>
        </w:rPr>
        <w:t>от 23.07.2021 №1119)</w:t>
      </w:r>
      <w:r w:rsidR="00766D80" w:rsidRPr="006C79F2">
        <w:rPr>
          <w:rFonts w:ascii="Times New Roman" w:hAnsi="Times New Roman" w:cs="Times New Roman"/>
          <w:sz w:val="28"/>
          <w:szCs w:val="28"/>
        </w:rPr>
        <w:t xml:space="preserve"> в</w:t>
      </w:r>
      <w:r w:rsidR="00766D80" w:rsidRPr="006C79F2">
        <w:rPr>
          <w:rFonts w:ascii="Times New Roman" w:eastAsia="Calibri" w:hAnsi="Times New Roman" w:cs="Times New Roman"/>
          <w:sz w:val="28"/>
          <w:szCs w:val="28"/>
        </w:rPr>
        <w:t xml:space="preserve"> целях упорядочения организации размещения нестационарных торговых объектов на территории города Барнаула.</w:t>
      </w:r>
      <w:proofErr w:type="gramEnd"/>
    </w:p>
    <w:p w:rsidR="000E2FB3" w:rsidRPr="006C79F2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F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Барнаула.</w:t>
      </w:r>
    </w:p>
    <w:p w:rsidR="000E2FB3" w:rsidRPr="00CD7D8F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правового акта являются правоотношения по порядку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CD7D8F">
        <w:rPr>
          <w:rFonts w:ascii="Times New Roman" w:hAnsi="Times New Roman" w:cs="Times New Roman"/>
          <w:sz w:val="28"/>
          <w:szCs w:val="28"/>
        </w:rPr>
        <w:t>нестационарного торгового объекта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228">
        <w:rPr>
          <w:rFonts w:ascii="Times New Roman" w:hAnsi="Times New Roman" w:cs="Times New Roman"/>
          <w:sz w:val="28"/>
          <w:szCs w:val="28"/>
        </w:rPr>
        <w:t xml:space="preserve">Данный проект муниципального нормативного правового акта устанавливает допустимые 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F452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D7D8F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0E2FB3" w:rsidRPr="006D3308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0E2FB3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0E2FB3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0E2FB3" w:rsidRPr="007E2751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</w:t>
      </w:r>
      <w:r w:rsidR="00AF4AA4">
        <w:rPr>
          <w:rFonts w:ascii="Times New Roman" w:hAnsi="Times New Roman" w:cs="Times New Roman"/>
          <w:sz w:val="28"/>
          <w:szCs w:val="28"/>
        </w:rPr>
        <w:t xml:space="preserve">ой экономической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0E2FB3" w:rsidRPr="00BC14F2" w:rsidRDefault="000E2FB3" w:rsidP="00DD0439">
      <w:pPr>
        <w:spacing w:line="310" w:lineRule="exact"/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="00AF4AA4">
        <w:rPr>
          <w:sz w:val="28"/>
          <w:szCs w:val="28"/>
        </w:rPr>
        <w:t>иной экономической</w:t>
      </w:r>
      <w:r>
        <w:rPr>
          <w:sz w:val="28"/>
          <w:szCs w:val="28"/>
        </w:rPr>
        <w:t xml:space="preserve"> деятельности и органов местного самоуправления, связанных                    </w:t>
      </w:r>
      <w:r w:rsidRPr="00BC14F2">
        <w:rPr>
          <w:sz w:val="28"/>
          <w:szCs w:val="28"/>
        </w:rPr>
        <w:t>с изменением их прав и обязанностей.</w:t>
      </w:r>
    </w:p>
    <w:p w:rsidR="000E2FB3" w:rsidRDefault="000E2FB3" w:rsidP="00DD0439">
      <w:pPr>
        <w:spacing w:line="310" w:lineRule="exact"/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0E2FB3" w:rsidRPr="000E2FB3" w:rsidRDefault="000E2FB3" w:rsidP="00DD0439">
      <w:pPr>
        <w:pStyle w:val="af3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0E2FB3" w:rsidRPr="00E243F6" w:rsidRDefault="000E2FB3" w:rsidP="00DD0439">
      <w:pPr>
        <w:pStyle w:val="af3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0E2FB3" w:rsidRPr="00E243F6" w:rsidRDefault="000E2FB3" w:rsidP="00DD0439">
      <w:pPr>
        <w:pStyle w:val="af3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0E2FB3" w:rsidRPr="00E243F6" w:rsidRDefault="000E2FB3" w:rsidP="00DD0439">
      <w:pPr>
        <w:pStyle w:val="af3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0E2FB3" w:rsidRDefault="000E2FB3" w:rsidP="00DD0439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93F21" w:rsidRPr="00B83259" w:rsidRDefault="00A93F21" w:rsidP="00DD0439">
      <w:pPr>
        <w:spacing w:line="310" w:lineRule="exact"/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A93F21" w:rsidRPr="00DD0439" w:rsidRDefault="00A93F21" w:rsidP="00DD0439">
      <w:pPr>
        <w:pStyle w:val="a9"/>
        <w:spacing w:after="0" w:line="310" w:lineRule="exact"/>
        <w:ind w:firstLine="709"/>
        <w:jc w:val="both"/>
        <w:rPr>
          <w:sz w:val="28"/>
          <w:szCs w:val="28"/>
        </w:rPr>
      </w:pPr>
      <w:r w:rsidRPr="00DD0439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DD0439" w:rsidRPr="00DD0439">
        <w:rPr>
          <w:sz w:val="28"/>
          <w:szCs w:val="28"/>
        </w:rPr>
        <w:t>08.10.2021-28.10.2021</w:t>
      </w:r>
      <w:r w:rsidRPr="00DD0439">
        <w:rPr>
          <w:sz w:val="28"/>
          <w:szCs w:val="28"/>
        </w:rPr>
        <w:t>.</w:t>
      </w:r>
    </w:p>
    <w:p w:rsidR="00A93F21" w:rsidRPr="00B83259" w:rsidRDefault="00A93F21" w:rsidP="00DD0439">
      <w:pPr>
        <w:spacing w:line="310" w:lineRule="exact"/>
        <w:ind w:firstLine="709"/>
        <w:jc w:val="both"/>
        <w:rPr>
          <w:sz w:val="28"/>
          <w:szCs w:val="28"/>
        </w:rPr>
      </w:pPr>
      <w:r w:rsidRPr="00B83259">
        <w:rPr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№90-ЗС «</w:t>
      </w:r>
      <w:r w:rsidRPr="00B83259">
        <w:rPr>
          <w:rFonts w:eastAsia="Calibri"/>
          <w:sz w:val="28"/>
          <w:szCs w:val="28"/>
        </w:rPr>
        <w:t xml:space="preserve">О порядке </w:t>
      </w:r>
      <w:proofErr w:type="gramStart"/>
      <w:r w:rsidRPr="00B83259">
        <w:rPr>
          <w:rFonts w:eastAsia="Calibri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B83259">
        <w:rPr>
          <w:rFonts w:eastAsia="Calibri"/>
          <w:sz w:val="28"/>
          <w:szCs w:val="28"/>
        </w:rPr>
        <w:t xml:space="preserve"> и экспертизы муниципальных нормативных правовых актов</w:t>
      </w:r>
      <w:r w:rsidRPr="00B83259">
        <w:rPr>
          <w:sz w:val="28"/>
          <w:szCs w:val="28"/>
        </w:rPr>
        <w:t>» были направлены: Уполномоченному по защите прав предпринимателей в Алтайском крае, п</w:t>
      </w:r>
      <w:r w:rsidRPr="00B83259">
        <w:rPr>
          <w:snapToGrid w:val="0"/>
          <w:sz w:val="28"/>
          <w:szCs w:val="28"/>
        </w:rPr>
        <w:t xml:space="preserve">равление НП «Алтайский союз предпринимателей», </w:t>
      </w:r>
      <w:r w:rsidRPr="00B83259">
        <w:rPr>
          <w:sz w:val="28"/>
        </w:rPr>
        <w:t xml:space="preserve">Координационный совет предпринимателей при главе города Барнаула, </w:t>
      </w:r>
      <w:r w:rsidRPr="00B83259">
        <w:rPr>
          <w:sz w:val="28"/>
          <w:szCs w:val="28"/>
        </w:rPr>
        <w:t xml:space="preserve">правовой комитет администрации </w:t>
      </w:r>
      <w:proofErr w:type="spellStart"/>
      <w:r w:rsidRPr="00B83259">
        <w:rPr>
          <w:sz w:val="28"/>
          <w:szCs w:val="28"/>
        </w:rPr>
        <w:t>г</w:t>
      </w:r>
      <w:proofErr w:type="gramStart"/>
      <w:r w:rsidRPr="00B83259">
        <w:rPr>
          <w:sz w:val="28"/>
          <w:szCs w:val="28"/>
        </w:rPr>
        <w:t>.Б</w:t>
      </w:r>
      <w:proofErr w:type="gramEnd"/>
      <w:r w:rsidRPr="00B83259">
        <w:rPr>
          <w:sz w:val="28"/>
          <w:szCs w:val="28"/>
        </w:rPr>
        <w:t>арнаула</w:t>
      </w:r>
      <w:proofErr w:type="spellEnd"/>
      <w:r w:rsidRPr="00B83259">
        <w:rPr>
          <w:sz w:val="28"/>
          <w:szCs w:val="28"/>
        </w:rPr>
        <w:t>.</w:t>
      </w:r>
    </w:p>
    <w:p w:rsidR="00A93F21" w:rsidRDefault="00A93F21" w:rsidP="00DD0439">
      <w:pPr>
        <w:tabs>
          <w:tab w:val="left" w:leader="underscore" w:pos="9356"/>
        </w:tabs>
        <w:spacing w:line="310" w:lineRule="exact"/>
        <w:ind w:firstLine="709"/>
        <w:jc w:val="both"/>
        <w:outlineLvl w:val="1"/>
        <w:rPr>
          <w:sz w:val="28"/>
          <w:szCs w:val="28"/>
        </w:rPr>
      </w:pPr>
      <w:r w:rsidRPr="00B83259">
        <w:rPr>
          <w:sz w:val="28"/>
          <w:szCs w:val="28"/>
        </w:rPr>
        <w:t>В соответствии с частью 6 статьи 5 закона Алтайс</w:t>
      </w:r>
      <w:r w:rsidR="00707E31">
        <w:rPr>
          <w:sz w:val="28"/>
          <w:szCs w:val="28"/>
        </w:rPr>
        <w:t xml:space="preserve">кого края от 10.11.2014 №90-ЗС </w:t>
      </w:r>
      <w:r w:rsidRPr="00B83259">
        <w:rPr>
          <w:sz w:val="28"/>
          <w:szCs w:val="28"/>
        </w:rPr>
        <w:t>в течение срока, предусмотренного для принятия разр</w:t>
      </w:r>
      <w:r w:rsidR="00707E31">
        <w:rPr>
          <w:sz w:val="28"/>
          <w:szCs w:val="28"/>
        </w:rPr>
        <w:t>аботчиком предложений в связи</w:t>
      </w:r>
      <w:r w:rsidRPr="00B83259">
        <w:rPr>
          <w:sz w:val="28"/>
          <w:szCs w:val="28"/>
        </w:rPr>
        <w:t xml:space="preserve">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поступили и были рассмотрены следующие предложения (приложение).</w:t>
      </w:r>
    </w:p>
    <w:p w:rsidR="00C91D21" w:rsidRDefault="00C91D21" w:rsidP="00C91D21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5C4A06">
        <w:rPr>
          <w:sz w:val="28"/>
          <w:szCs w:val="28"/>
        </w:rPr>
        <w:t xml:space="preserve">Сводка предложений, поступивших в связи с проведением </w:t>
      </w:r>
      <w:proofErr w:type="gramStart"/>
      <w:r w:rsidRPr="005C4A06">
        <w:rPr>
          <w:sz w:val="28"/>
          <w:szCs w:val="28"/>
        </w:rPr>
        <w:t>публичного</w:t>
      </w:r>
      <w:proofErr w:type="gramEnd"/>
    </w:p>
    <w:p w:rsidR="00C91D21" w:rsidRPr="00C37CBE" w:rsidRDefault="00C91D21" w:rsidP="00C91D21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5C4A06">
        <w:rPr>
          <w:sz w:val="28"/>
          <w:szCs w:val="28"/>
        </w:rPr>
        <w:t>обсуждения проекта муниципального правового акта и сводного отчета</w:t>
      </w:r>
    </w:p>
    <w:p w:rsidR="00C91D21" w:rsidRDefault="00C91D21" w:rsidP="00C91D21">
      <w:pPr>
        <w:tabs>
          <w:tab w:val="left" w:leader="underscore" w:pos="9356"/>
        </w:tabs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402"/>
        <w:gridCol w:w="3118"/>
      </w:tblGrid>
      <w:tr w:rsidR="00C91D21" w:rsidRPr="00D15871" w:rsidTr="00C02917">
        <w:tc>
          <w:tcPr>
            <w:tcW w:w="567" w:type="dxa"/>
            <w:shd w:val="clear" w:color="auto" w:fill="auto"/>
            <w:vAlign w:val="center"/>
          </w:tcPr>
          <w:p w:rsidR="00C91D21" w:rsidRPr="00D15871" w:rsidRDefault="00C91D21" w:rsidP="006A48D7">
            <w:pPr>
              <w:jc w:val="center"/>
              <w:rPr>
                <w:sz w:val="20"/>
                <w:szCs w:val="20"/>
              </w:rPr>
            </w:pPr>
            <w:r w:rsidRPr="00D15871">
              <w:rPr>
                <w:sz w:val="20"/>
                <w:szCs w:val="20"/>
              </w:rPr>
              <w:t xml:space="preserve">№ </w:t>
            </w:r>
            <w:proofErr w:type="gramStart"/>
            <w:r w:rsidRPr="00D15871">
              <w:rPr>
                <w:sz w:val="20"/>
                <w:szCs w:val="20"/>
              </w:rPr>
              <w:t>п</w:t>
            </w:r>
            <w:proofErr w:type="gramEnd"/>
            <w:r w:rsidRPr="00D15871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91D21" w:rsidRPr="00D15871" w:rsidRDefault="00C91D21" w:rsidP="006A48D7">
            <w:pPr>
              <w:jc w:val="center"/>
              <w:rPr>
                <w:sz w:val="20"/>
                <w:szCs w:val="20"/>
              </w:rPr>
            </w:pPr>
            <w:r w:rsidRPr="00D15871">
              <w:rPr>
                <w:sz w:val="20"/>
                <w:szCs w:val="20"/>
              </w:rPr>
              <w:t>Автор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D21" w:rsidRPr="00D15871" w:rsidRDefault="00C91D21" w:rsidP="006A48D7">
            <w:pPr>
              <w:jc w:val="center"/>
              <w:rPr>
                <w:sz w:val="20"/>
                <w:szCs w:val="20"/>
              </w:rPr>
            </w:pPr>
            <w:r w:rsidRPr="00D15871">
              <w:rPr>
                <w:sz w:val="20"/>
                <w:szCs w:val="20"/>
              </w:rPr>
              <w:t>Способ предоставления предложения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1D21" w:rsidRPr="00D15871" w:rsidRDefault="00C91D21" w:rsidP="006A48D7">
            <w:pPr>
              <w:jc w:val="center"/>
              <w:rPr>
                <w:sz w:val="20"/>
                <w:szCs w:val="20"/>
              </w:rPr>
            </w:pPr>
            <w:r w:rsidRPr="00D15871">
              <w:rPr>
                <w:sz w:val="20"/>
                <w:szCs w:val="20"/>
              </w:rPr>
              <w:t>Содержание предложения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1D21" w:rsidRPr="00D15871" w:rsidRDefault="00C91D21" w:rsidP="006A48D7">
            <w:pPr>
              <w:jc w:val="center"/>
              <w:rPr>
                <w:sz w:val="20"/>
                <w:szCs w:val="20"/>
              </w:rPr>
            </w:pPr>
            <w:r w:rsidRPr="00D15871">
              <w:rPr>
                <w:sz w:val="20"/>
                <w:szCs w:val="20"/>
              </w:rPr>
              <w:t>Результат рассмотрения предложения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Pr="00ED7EF2" w:rsidRDefault="00C91D21" w:rsidP="006A48D7">
            <w:pPr>
              <w:jc w:val="center"/>
            </w:pPr>
            <w:r w:rsidRPr="00ED7EF2">
              <w:t>1.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r w:rsidRPr="00ED7EF2">
              <w:t>Администрация Центрально</w:t>
            </w:r>
            <w:r>
              <w:t>-</w:t>
            </w:r>
            <w:proofErr w:type="spellStart"/>
            <w:r w:rsidRPr="00ED7EF2">
              <w:t>го</w:t>
            </w:r>
            <w:proofErr w:type="spellEnd"/>
            <w:r w:rsidRPr="00ED7EF2">
              <w:t xml:space="preserve"> района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t>22.10.2021 №200/Ц-21/ОТВ-799)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C91D21">
            <w:pPr>
              <w:jc w:val="both"/>
            </w:pPr>
            <w:r w:rsidRPr="00ED7EF2">
              <w:t>О внесении изменений в схему размещения НТО:</w:t>
            </w:r>
          </w:p>
          <w:p w:rsidR="00C91D21" w:rsidRPr="00ED7EF2" w:rsidRDefault="00C91D21" w:rsidP="00C91D21">
            <w:pPr>
              <w:jc w:val="both"/>
            </w:pPr>
            <w:r>
              <w:t>1. И</w:t>
            </w:r>
            <w:r w:rsidRPr="00ED7EF2">
              <w:t xml:space="preserve">сключить из Схемы: </w:t>
            </w:r>
            <w:r>
              <w:t xml:space="preserve">14 объектов по адресу: </w:t>
            </w:r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ерницк</w:t>
            </w:r>
            <w:proofErr w:type="spellEnd"/>
            <w:r>
              <w:t>, ул.Пионеров,2г</w:t>
            </w:r>
            <w:r w:rsidRPr="00ED7EF2">
              <w:t>;</w:t>
            </w:r>
          </w:p>
          <w:p w:rsidR="00C91D21" w:rsidRDefault="00C91D21" w:rsidP="00C91D21">
            <w:pPr>
              <w:jc w:val="both"/>
            </w:pPr>
            <w:r>
              <w:t>2. У</w:t>
            </w:r>
            <w:r w:rsidRPr="00ED7EF2">
              <w:t xml:space="preserve">величить площадь НТО и </w:t>
            </w:r>
            <w:r>
              <w:t xml:space="preserve">изменить </w:t>
            </w:r>
            <w:r w:rsidRPr="00ED7EF2">
              <w:t>группу реализуемых товаров</w:t>
            </w:r>
            <w:r>
              <w:t>:</w:t>
            </w:r>
            <w:r w:rsidRPr="00ED7EF2">
              <w:t xml:space="preserve">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ебяжье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68а;</w:t>
            </w:r>
          </w:p>
          <w:p w:rsidR="00C91D21" w:rsidRPr="00ED7EF2" w:rsidRDefault="00C91D21" w:rsidP="00C91D21">
            <w:pPr>
              <w:jc w:val="both"/>
            </w:pPr>
            <w:r>
              <w:t>3. В</w:t>
            </w:r>
            <w:r w:rsidRPr="00ED7EF2">
              <w:t>ключить нов</w:t>
            </w:r>
            <w:r>
              <w:t>ое</w:t>
            </w:r>
            <w:r w:rsidRPr="00ED7EF2">
              <w:t xml:space="preserve"> мест</w:t>
            </w:r>
            <w:r>
              <w:t>о</w:t>
            </w:r>
            <w:r w:rsidRPr="00ED7EF2">
              <w:t xml:space="preserve">: </w:t>
            </w:r>
            <w:r>
              <w:t>Набережная реки Оби</w:t>
            </w:r>
            <w:r w:rsidRPr="00ED7EF2">
              <w:t>.</w:t>
            </w:r>
          </w:p>
        </w:tc>
        <w:tc>
          <w:tcPr>
            <w:tcW w:w="3118" w:type="dxa"/>
            <w:shd w:val="clear" w:color="auto" w:fill="auto"/>
          </w:tcPr>
          <w:p w:rsidR="00C91D21" w:rsidRDefault="00C91D21" w:rsidP="00C91D21">
            <w:pPr>
              <w:jc w:val="both"/>
              <w:outlineLvl w:val="1"/>
            </w:pPr>
            <w:r>
              <w:t>Предложения:</w:t>
            </w:r>
          </w:p>
          <w:p w:rsidR="00C91D21" w:rsidRDefault="00C91D21" w:rsidP="00C91D21">
            <w:pPr>
              <w:jc w:val="both"/>
              <w:outlineLvl w:val="1"/>
            </w:pPr>
            <w:r w:rsidRPr="001A2301">
              <w:t>п.1.</w:t>
            </w:r>
            <w:r>
              <w:t xml:space="preserve"> отклонено, так как наличие судебных разбирательств не является основанием для исключения из схемы размещения НТО:</w:t>
            </w:r>
          </w:p>
          <w:p w:rsidR="00C91D21" w:rsidRDefault="00C91D21" w:rsidP="00C91D21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п.2. </w:t>
            </w:r>
            <w:r w:rsidRPr="00ED7EF2">
              <w:rPr>
                <w:rFonts w:eastAsia="Calibri"/>
                <w:lang w:eastAsia="en-US"/>
              </w:rPr>
              <w:t>учтен</w:t>
            </w:r>
            <w:r>
              <w:rPr>
                <w:rFonts w:eastAsia="Calibri"/>
                <w:lang w:eastAsia="en-US"/>
              </w:rPr>
              <w:t>о</w:t>
            </w:r>
            <w:r w:rsidRPr="00ED7EF2">
              <w:rPr>
                <w:rFonts w:eastAsia="Calibri"/>
                <w:lang w:eastAsia="en-US"/>
              </w:rPr>
              <w:t xml:space="preserve"> при </w:t>
            </w:r>
            <w:r>
              <w:rPr>
                <w:rFonts w:eastAsia="Calibri"/>
                <w:lang w:eastAsia="en-US"/>
              </w:rPr>
              <w:t>доработке проекта постановления;</w:t>
            </w:r>
          </w:p>
          <w:p w:rsidR="00C91D21" w:rsidRPr="00ED7EF2" w:rsidRDefault="00C91D21" w:rsidP="00C91D21">
            <w:pPr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п.3. отклонено </w:t>
            </w:r>
            <w:r>
              <w:t xml:space="preserve">в связи с проведением </w:t>
            </w:r>
            <w:r>
              <w:lastRenderedPageBreak/>
              <w:t>реконструкции (благоустройства) территории прилегающей к мосту через реку Обь (район Набережной реки Оби)</w:t>
            </w:r>
            <w:r w:rsidRPr="00ED7EF2">
              <w:t>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Pr="00ED7EF2" w:rsidRDefault="00C91D21" w:rsidP="006A48D7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proofErr w:type="spellStart"/>
            <w:r w:rsidRPr="00ED7EF2">
              <w:t>Админист</w:t>
            </w:r>
            <w:proofErr w:type="spellEnd"/>
            <w:r>
              <w:t>-</w:t>
            </w:r>
            <w:r w:rsidRPr="00ED7EF2">
              <w:t>рация Центрально</w:t>
            </w:r>
            <w:r>
              <w:t>-</w:t>
            </w:r>
            <w:proofErr w:type="spellStart"/>
            <w:r w:rsidRPr="00ED7EF2">
              <w:t>го</w:t>
            </w:r>
            <w:proofErr w:type="spellEnd"/>
            <w:r w:rsidRPr="00ED7EF2">
              <w:t xml:space="preserve"> района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t>27.10.2021 №200/Ц-21/ОТВ-724)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pPr>
              <w:jc w:val="both"/>
            </w:pPr>
            <w:r>
              <w:t>В</w:t>
            </w:r>
            <w:r w:rsidRPr="00ED7EF2">
              <w:t>ключить нов</w:t>
            </w:r>
            <w:r>
              <w:t>ое</w:t>
            </w:r>
            <w:r w:rsidRPr="00ED7EF2">
              <w:t xml:space="preserve"> мест</w:t>
            </w:r>
            <w:r>
              <w:t>о</w:t>
            </w:r>
            <w:r w:rsidRPr="00ED7EF2">
              <w:t xml:space="preserve">: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gramStart"/>
            <w:r>
              <w:t>Социалистический</w:t>
            </w:r>
            <w:proofErr w:type="gramEnd"/>
            <w:r>
              <w:t>, 61 (место для товаропроизводителя)</w:t>
            </w:r>
            <w:r w:rsidRPr="00ED7EF2">
              <w:t>.</w:t>
            </w:r>
          </w:p>
        </w:tc>
        <w:tc>
          <w:tcPr>
            <w:tcW w:w="3118" w:type="dxa"/>
            <w:shd w:val="clear" w:color="auto" w:fill="auto"/>
          </w:tcPr>
          <w:p w:rsidR="00C91D21" w:rsidRPr="00ED7EF2" w:rsidRDefault="00C91D21" w:rsidP="006A48D7">
            <w:pPr>
              <w:jc w:val="both"/>
              <w:outlineLvl w:val="1"/>
            </w:pPr>
            <w:r w:rsidRPr="00ED7EF2">
              <w:rPr>
                <w:rFonts w:eastAsia="Calibri"/>
                <w:lang w:eastAsia="en-US"/>
              </w:rPr>
              <w:t>Предложение учтено при доработке проекта постановления.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Default="00C91D21" w:rsidP="006A48D7">
            <w:pPr>
              <w:jc w:val="center"/>
            </w:pPr>
            <w:r>
              <w:t>3.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proofErr w:type="spellStart"/>
            <w:r w:rsidRPr="00ED7EF2">
              <w:t>Админист</w:t>
            </w:r>
            <w:proofErr w:type="spellEnd"/>
            <w:r>
              <w:t>-</w:t>
            </w:r>
            <w:r w:rsidRPr="00ED7EF2">
              <w:t>рация Центрально</w:t>
            </w:r>
            <w:r>
              <w:t>-</w:t>
            </w:r>
            <w:proofErr w:type="spellStart"/>
            <w:r w:rsidRPr="00ED7EF2">
              <w:t>го</w:t>
            </w:r>
            <w:proofErr w:type="spellEnd"/>
            <w:r w:rsidRPr="00ED7EF2">
              <w:t xml:space="preserve"> района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t>27.10.2021 №200/Ц-21/ОТВ-720)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pPr>
              <w:jc w:val="both"/>
            </w:pPr>
            <w:r w:rsidRPr="00ED7EF2">
              <w:t>О внесении изменений в схему размещения НТО:</w:t>
            </w:r>
          </w:p>
          <w:p w:rsidR="007D725B" w:rsidRPr="00ED7EF2" w:rsidRDefault="00C91D21" w:rsidP="006A48D7">
            <w:pPr>
              <w:jc w:val="both"/>
            </w:pPr>
            <w:r>
              <w:t>1. И</w:t>
            </w:r>
            <w:r w:rsidRPr="00ED7EF2">
              <w:t xml:space="preserve">сключить из Схемы: </w:t>
            </w:r>
            <w:r w:rsidR="00CF7592">
              <w:t>20</w:t>
            </w:r>
            <w:r>
              <w:t xml:space="preserve"> объектов в связи с не востребованностью</w:t>
            </w:r>
            <w:r w:rsidR="007D725B">
              <w:t xml:space="preserve"> (Змеиногорский тракт, 110, остановка «Санаторий «Обь», нечетная сторона</w:t>
            </w:r>
            <w:r w:rsidRPr="00ED7EF2">
              <w:t>;</w:t>
            </w:r>
            <w:r w:rsidR="007D725B">
              <w:t xml:space="preserve"> </w:t>
            </w:r>
            <w:proofErr w:type="spellStart"/>
            <w:r w:rsidR="007D725B">
              <w:t>пр-кт</w:t>
            </w:r>
            <w:proofErr w:type="spellEnd"/>
            <w:r w:rsidR="007D725B">
              <w:t xml:space="preserve"> Красноармейский, 61; </w:t>
            </w:r>
            <w:proofErr w:type="spellStart"/>
            <w:r w:rsidR="007D725B">
              <w:t>р.п</w:t>
            </w:r>
            <w:proofErr w:type="gramStart"/>
            <w:r w:rsidR="007D725B">
              <w:t>.Ю</w:t>
            </w:r>
            <w:proofErr w:type="gramEnd"/>
            <w:r w:rsidR="007D725B">
              <w:t>жный</w:t>
            </w:r>
            <w:proofErr w:type="spellEnd"/>
            <w:r w:rsidR="007D725B">
              <w:t xml:space="preserve">, </w:t>
            </w:r>
            <w:proofErr w:type="spellStart"/>
            <w:r w:rsidR="007D725B">
              <w:t>ул.Мусорского</w:t>
            </w:r>
            <w:proofErr w:type="spellEnd"/>
            <w:r w:rsidR="007D725B">
              <w:t xml:space="preserve">, 30; </w:t>
            </w:r>
            <w:proofErr w:type="spellStart"/>
            <w:r w:rsidR="007D725B">
              <w:t>ул.Анатолия</w:t>
            </w:r>
            <w:proofErr w:type="spellEnd"/>
            <w:r w:rsidR="007D725B">
              <w:t xml:space="preserve">, 220; </w:t>
            </w:r>
            <w:proofErr w:type="spellStart"/>
            <w:r w:rsidR="007D725B">
              <w:t>ул.Анатолия</w:t>
            </w:r>
            <w:proofErr w:type="spellEnd"/>
            <w:r w:rsidR="007D725B">
              <w:t xml:space="preserve">, 241; пересечение </w:t>
            </w:r>
            <w:proofErr w:type="spellStart"/>
            <w:r w:rsidR="007D725B">
              <w:t>пр-кта</w:t>
            </w:r>
            <w:proofErr w:type="spellEnd"/>
            <w:r w:rsidR="007D725B">
              <w:t xml:space="preserve"> Ленина и </w:t>
            </w:r>
            <w:proofErr w:type="spellStart"/>
            <w:r w:rsidR="007D725B">
              <w:t>ул.Гоголя</w:t>
            </w:r>
            <w:proofErr w:type="spellEnd"/>
            <w:r w:rsidR="007D725B">
              <w:t xml:space="preserve">; </w:t>
            </w:r>
            <w:proofErr w:type="spellStart"/>
            <w:r w:rsidR="00CF7592" w:rsidRPr="003F42CC">
              <w:t>пр-кт</w:t>
            </w:r>
            <w:proofErr w:type="spellEnd"/>
            <w:r w:rsidR="00CF7592" w:rsidRPr="003F42CC">
              <w:t xml:space="preserve"> Социалистический, 61</w:t>
            </w:r>
            <w:r w:rsidR="00CF7592">
              <w:t xml:space="preserve">; </w:t>
            </w:r>
            <w:r w:rsidR="007D725B">
              <w:t xml:space="preserve">пересечение </w:t>
            </w:r>
            <w:proofErr w:type="spellStart"/>
            <w:r w:rsidR="007D725B">
              <w:t>пр-кта</w:t>
            </w:r>
            <w:proofErr w:type="spellEnd"/>
            <w:r w:rsidR="007D725B">
              <w:t xml:space="preserve"> Красноармейского и </w:t>
            </w:r>
            <w:proofErr w:type="spellStart"/>
            <w:r w:rsidR="007D725B">
              <w:t>ул.Анатолия</w:t>
            </w:r>
            <w:proofErr w:type="spellEnd"/>
            <w:r w:rsidR="007D725B">
              <w:t>; Змеиногорский тракт, 75;</w:t>
            </w:r>
            <w:r w:rsidR="00CF7592">
              <w:t xml:space="preserve">; </w:t>
            </w:r>
            <w:proofErr w:type="spellStart"/>
            <w:r w:rsidR="007D725B">
              <w:t>п</w:t>
            </w:r>
            <w:proofErr w:type="gramStart"/>
            <w:r w:rsidR="007D725B">
              <w:t>.Ц</w:t>
            </w:r>
            <w:proofErr w:type="gramEnd"/>
            <w:r w:rsidR="007D725B">
              <w:t>ентральный</w:t>
            </w:r>
            <w:proofErr w:type="spellEnd"/>
            <w:r w:rsidR="007D725B">
              <w:t xml:space="preserve">, </w:t>
            </w:r>
            <w:proofErr w:type="spellStart"/>
            <w:r w:rsidR="007D725B">
              <w:t>ул.Благодатная</w:t>
            </w:r>
            <w:proofErr w:type="spellEnd"/>
            <w:r w:rsidR="007D725B">
              <w:t xml:space="preserve">, 34а; </w:t>
            </w:r>
            <w:proofErr w:type="spellStart"/>
            <w:r w:rsidR="007D725B">
              <w:t>п.Центральный</w:t>
            </w:r>
            <w:proofErr w:type="spellEnd"/>
            <w:r w:rsidR="007D725B">
              <w:t xml:space="preserve">, </w:t>
            </w:r>
            <w:proofErr w:type="spellStart"/>
            <w:r w:rsidR="007D725B">
              <w:t>ул.Мира</w:t>
            </w:r>
            <w:proofErr w:type="spellEnd"/>
            <w:r w:rsidR="007D725B">
              <w:t xml:space="preserve">, 9в; </w:t>
            </w:r>
            <w:proofErr w:type="spellStart"/>
            <w:r w:rsidR="007D725B">
              <w:t>ул.Пролетарская</w:t>
            </w:r>
            <w:proofErr w:type="spellEnd"/>
            <w:r w:rsidR="007D725B">
              <w:t xml:space="preserve">, 196; </w:t>
            </w:r>
            <w:proofErr w:type="spellStart"/>
            <w:r w:rsidR="007D725B">
              <w:t>ул.Челюскинцев</w:t>
            </w:r>
            <w:proofErr w:type="spellEnd"/>
            <w:r w:rsidR="007D725B">
              <w:t xml:space="preserve">, 69; </w:t>
            </w:r>
            <w:proofErr w:type="spellStart"/>
            <w:r w:rsidR="007D725B">
              <w:t>пр-кт</w:t>
            </w:r>
            <w:proofErr w:type="spellEnd"/>
            <w:r w:rsidR="007D725B">
              <w:t xml:space="preserve"> Ленина, 45; </w:t>
            </w:r>
            <w:proofErr w:type="spellStart"/>
            <w:r w:rsidR="007D725B">
              <w:t>пр-кт</w:t>
            </w:r>
            <w:proofErr w:type="spellEnd"/>
            <w:r w:rsidR="007D725B">
              <w:t xml:space="preserve"> Красноармейский, 22а; Змеиногорский тракт, 75; </w:t>
            </w:r>
            <w:proofErr w:type="spellStart"/>
            <w:r w:rsidR="007D725B">
              <w:t>ул.Никитина</w:t>
            </w:r>
            <w:proofErr w:type="spellEnd"/>
            <w:r w:rsidR="007D725B">
              <w:t xml:space="preserve">, 55; </w:t>
            </w:r>
            <w:proofErr w:type="spellStart"/>
            <w:r w:rsidR="007D725B">
              <w:t>р.п.Южный</w:t>
            </w:r>
            <w:proofErr w:type="spellEnd"/>
            <w:r w:rsidR="007D725B">
              <w:t xml:space="preserve">, </w:t>
            </w:r>
            <w:proofErr w:type="spellStart"/>
            <w:r w:rsidR="007D725B">
              <w:t>ул.Чайковского</w:t>
            </w:r>
            <w:proofErr w:type="spellEnd"/>
            <w:r w:rsidR="007D725B">
              <w:t xml:space="preserve">, 25; </w:t>
            </w:r>
            <w:proofErr w:type="spellStart"/>
            <w:r w:rsidR="007D725B">
              <w:t>р.п.Южный</w:t>
            </w:r>
            <w:proofErr w:type="spellEnd"/>
            <w:r w:rsidR="007D725B">
              <w:t xml:space="preserve">, </w:t>
            </w:r>
            <w:proofErr w:type="spellStart"/>
            <w:r w:rsidR="007D725B">
              <w:t>ул.Дзержинского</w:t>
            </w:r>
            <w:proofErr w:type="spellEnd"/>
            <w:r w:rsidR="007D725B">
              <w:t>, 17</w:t>
            </w:r>
            <w:r w:rsidR="00CF7592">
              <w:t xml:space="preserve">; </w:t>
            </w:r>
            <w:proofErr w:type="spellStart"/>
            <w:r w:rsidR="00CF7592">
              <w:t>р.п.Южный</w:t>
            </w:r>
            <w:proofErr w:type="spellEnd"/>
            <w:r w:rsidR="00CF7592">
              <w:t xml:space="preserve">, </w:t>
            </w:r>
            <w:proofErr w:type="spellStart"/>
            <w:r w:rsidR="00CF7592">
              <w:t>ул.Мусорского</w:t>
            </w:r>
            <w:proofErr w:type="spellEnd"/>
            <w:r w:rsidR="00CF7592">
              <w:t>, 21.</w:t>
            </w:r>
          </w:p>
          <w:p w:rsidR="00C91D21" w:rsidRDefault="00C91D21" w:rsidP="006A48D7">
            <w:pPr>
              <w:jc w:val="both"/>
            </w:pPr>
            <w:r>
              <w:t>2. У</w:t>
            </w:r>
            <w:r w:rsidRPr="00ED7EF2">
              <w:t xml:space="preserve">величить </w:t>
            </w:r>
            <w:r>
              <w:t>срок размещения НТО по</w:t>
            </w:r>
            <w:r w:rsidRPr="00ED7EF2">
              <w:t xml:space="preserve"> </w:t>
            </w:r>
            <w:proofErr w:type="spellStart"/>
            <w:r>
              <w:t>Змеиногорскому</w:t>
            </w:r>
            <w:proofErr w:type="spellEnd"/>
            <w:r>
              <w:t xml:space="preserve"> тракту, 118д;</w:t>
            </w:r>
          </w:p>
          <w:p w:rsidR="00C91D21" w:rsidRPr="00ED7EF2" w:rsidRDefault="00C91D21" w:rsidP="00C91D21">
            <w:pPr>
              <w:jc w:val="both"/>
            </w:pPr>
            <w:r>
              <w:t>3. В</w:t>
            </w:r>
            <w:r w:rsidRPr="00ED7EF2">
              <w:t>ключить нов</w:t>
            </w:r>
            <w:r>
              <w:t>ое</w:t>
            </w:r>
            <w:r w:rsidRPr="00ED7EF2">
              <w:t xml:space="preserve"> мест</w:t>
            </w:r>
            <w:r>
              <w:t>о</w:t>
            </w:r>
            <w:r w:rsidRPr="00ED7EF2">
              <w:t xml:space="preserve">: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gramStart"/>
            <w:r>
              <w:t>Красноармейский</w:t>
            </w:r>
            <w:proofErr w:type="gramEnd"/>
            <w:r>
              <w:t>, 8</w:t>
            </w:r>
            <w:r w:rsidRPr="00ED7EF2">
              <w:t>.</w:t>
            </w:r>
          </w:p>
        </w:tc>
        <w:tc>
          <w:tcPr>
            <w:tcW w:w="3118" w:type="dxa"/>
            <w:shd w:val="clear" w:color="auto" w:fill="auto"/>
          </w:tcPr>
          <w:p w:rsidR="00C91D21" w:rsidRPr="00ED7EF2" w:rsidRDefault="00C91D21" w:rsidP="006A48D7">
            <w:pPr>
              <w:jc w:val="both"/>
              <w:outlineLvl w:val="1"/>
            </w:pPr>
            <w:r w:rsidRPr="00ED7EF2">
              <w:rPr>
                <w:rFonts w:eastAsia="Calibri"/>
                <w:lang w:eastAsia="en-US"/>
              </w:rPr>
              <w:t>Предложение учтено при доработке проекта постановления.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Pr="00ED7EF2" w:rsidRDefault="00C91D21" w:rsidP="006A48D7">
            <w:pPr>
              <w:jc w:val="center"/>
            </w:pPr>
            <w:r>
              <w:t>4</w:t>
            </w:r>
            <w:r w:rsidRPr="00ED7EF2"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proofErr w:type="spellStart"/>
            <w:r w:rsidRPr="00ED7EF2">
              <w:t>Админист</w:t>
            </w:r>
            <w:proofErr w:type="spellEnd"/>
            <w:r>
              <w:t>-</w:t>
            </w:r>
            <w:r w:rsidRPr="00ED7EF2">
              <w:t xml:space="preserve">рация </w:t>
            </w:r>
            <w:proofErr w:type="spellStart"/>
            <w:r w:rsidRPr="00ED7EF2">
              <w:lastRenderedPageBreak/>
              <w:t>Железнодо</w:t>
            </w:r>
            <w:r>
              <w:t>-</w:t>
            </w:r>
            <w:r w:rsidRPr="00ED7EF2">
              <w:t>рожного</w:t>
            </w:r>
            <w:proofErr w:type="spellEnd"/>
            <w:r w:rsidRPr="00ED7EF2">
              <w:t xml:space="preserve"> района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lastRenderedPageBreak/>
              <w:t xml:space="preserve">Обращение в письменном </w:t>
            </w:r>
            <w:r w:rsidRPr="00ED7EF2">
              <w:lastRenderedPageBreak/>
              <w:t xml:space="preserve">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t>26.10.2021 №200/Ж-21/ОТВ-213)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pPr>
              <w:jc w:val="both"/>
            </w:pPr>
            <w:r w:rsidRPr="00ED7EF2">
              <w:lastRenderedPageBreak/>
              <w:t>О внесении изменений в схему размещения НТО:</w:t>
            </w:r>
          </w:p>
          <w:p w:rsidR="00C91D21" w:rsidRDefault="00C91D21" w:rsidP="006A48D7">
            <w:pPr>
              <w:jc w:val="both"/>
            </w:pPr>
            <w:r>
              <w:lastRenderedPageBreak/>
              <w:t>1. В</w:t>
            </w:r>
            <w:r w:rsidRPr="00ED7EF2">
              <w:t>ключить нов</w:t>
            </w:r>
            <w:r>
              <w:t>ое</w:t>
            </w:r>
            <w:r w:rsidRPr="00ED7EF2">
              <w:t xml:space="preserve"> мест</w:t>
            </w:r>
            <w:r>
              <w:t>о: Павловский тракт, 77а, к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C91D21" w:rsidRDefault="00C91D21" w:rsidP="006A48D7">
            <w:pPr>
              <w:jc w:val="both"/>
            </w:pPr>
            <w:r>
              <w:t>2. У</w:t>
            </w:r>
            <w:r w:rsidRPr="00ED7EF2">
              <w:t xml:space="preserve">величить площадь НТО </w:t>
            </w:r>
            <w:r>
              <w:t xml:space="preserve">по </w:t>
            </w:r>
            <w:proofErr w:type="spellStart"/>
            <w:r>
              <w:t>пр-кту</w:t>
            </w:r>
            <w:proofErr w:type="spellEnd"/>
            <w:r>
              <w:t xml:space="preserve"> Ленина. 155,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еверо</w:t>
            </w:r>
            <w:proofErr w:type="spellEnd"/>
            <w:r>
              <w:t xml:space="preserve">-Западная, 41 (2 объекта) </w:t>
            </w:r>
            <w:r w:rsidRPr="00ED7EF2">
              <w:t xml:space="preserve">и </w:t>
            </w:r>
            <w:r>
              <w:t xml:space="preserve">изменить </w:t>
            </w:r>
            <w:r w:rsidRPr="00ED7EF2">
              <w:t>группу реализуемых товаров</w:t>
            </w:r>
            <w:r>
              <w:t xml:space="preserve">: </w:t>
            </w:r>
            <w:proofErr w:type="spellStart"/>
            <w:r>
              <w:t>пр-кт</w:t>
            </w:r>
            <w:proofErr w:type="spellEnd"/>
            <w:r>
              <w:t xml:space="preserve"> Ленина. 155, </w:t>
            </w:r>
            <w:proofErr w:type="spellStart"/>
            <w:r>
              <w:t>ул.Северо</w:t>
            </w:r>
            <w:proofErr w:type="spellEnd"/>
            <w:r>
              <w:t>-Западная, 41;</w:t>
            </w:r>
          </w:p>
          <w:p w:rsidR="00C91D21" w:rsidRPr="00ED7EF2" w:rsidRDefault="00C91D21" w:rsidP="006A48D7">
            <w:pPr>
              <w:jc w:val="both"/>
            </w:pPr>
            <w:r>
              <w:t>3. И</w:t>
            </w:r>
            <w:r w:rsidRPr="00ED7EF2">
              <w:t xml:space="preserve">сключить из Схемы: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еверо</w:t>
            </w:r>
            <w:proofErr w:type="spellEnd"/>
            <w:r>
              <w:t>-Западная, 41</w:t>
            </w:r>
            <w:r w:rsidRPr="00ED7EF2">
              <w:t>;</w:t>
            </w:r>
          </w:p>
          <w:p w:rsidR="00C91D21" w:rsidRPr="00ED7EF2" w:rsidRDefault="00C91D21" w:rsidP="006A48D7">
            <w:pPr>
              <w:jc w:val="both"/>
            </w:pPr>
            <w:r>
              <w:t xml:space="preserve">4. Перенести место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тахановская</w:t>
            </w:r>
            <w:proofErr w:type="spellEnd"/>
            <w:r>
              <w:t>, 80 в Приложение 1.</w:t>
            </w:r>
          </w:p>
        </w:tc>
        <w:tc>
          <w:tcPr>
            <w:tcW w:w="3118" w:type="dxa"/>
            <w:shd w:val="clear" w:color="auto" w:fill="auto"/>
          </w:tcPr>
          <w:p w:rsidR="00C91D21" w:rsidRDefault="00C91D21" w:rsidP="006A48D7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Предложения:</w:t>
            </w:r>
          </w:p>
          <w:p w:rsidR="00C91D21" w:rsidRDefault="00C91D21" w:rsidP="006A48D7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п.1. отклонено </w:t>
            </w:r>
            <w:r>
              <w:t xml:space="preserve">в связи с </w:t>
            </w:r>
            <w:r>
              <w:lastRenderedPageBreak/>
              <w:t>нахождением на инженерных сетях и их охранных зонах (в</w:t>
            </w:r>
            <w:r w:rsidRPr="00702D80">
              <w:t xml:space="preserve"> </w:t>
            </w:r>
            <w:r>
              <w:t xml:space="preserve">границах </w:t>
            </w:r>
            <w:r w:rsidRPr="00702D80">
              <w:t>охранной зон</w:t>
            </w:r>
            <w:r>
              <w:t>ы кабельной линии электропередачи, охранная зона сооружения - газопровод);</w:t>
            </w:r>
          </w:p>
          <w:p w:rsidR="00C91D21" w:rsidRDefault="00C91D21" w:rsidP="006A48D7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п.2. отклонены в части увеличения площади </w:t>
            </w:r>
            <w:r>
              <w:t xml:space="preserve">в связи с нахождением на инженерных сетях и их охранных зонах: </w:t>
            </w:r>
            <w:proofErr w:type="spellStart"/>
            <w:r>
              <w:t>пр-кту</w:t>
            </w:r>
            <w:proofErr w:type="spellEnd"/>
            <w:r>
              <w:t xml:space="preserve"> Ленина. 155 (</w:t>
            </w:r>
            <w:r w:rsidRPr="00702D80">
              <w:t>распложен в 3–м поясе зоны санитарной охраны (ЗСО) источников питьевого и хозяйственно-бытового снабжения</w:t>
            </w:r>
            <w:r>
              <w:t xml:space="preserve">, охранные зоны подземных тепловых сетей, сооружения – газопровод, линии связи, рядом остановка общественного транспорта), два объекта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еверо</w:t>
            </w:r>
            <w:proofErr w:type="spellEnd"/>
            <w:r>
              <w:t xml:space="preserve">-Западная, 41 (находятся в </w:t>
            </w:r>
            <w:r w:rsidRPr="009C0189">
              <w:t>поясе зоны санитарной охраны (ЗСО) источников питьевого и хозяйственно-бытового снабжения, охранные зоны инженерных коммуникаций (</w:t>
            </w:r>
            <w:r>
              <w:t>о</w:t>
            </w:r>
            <w:r w:rsidRPr="009C0189">
              <w:rPr>
                <w:color w:val="000000"/>
                <w:shd w:val="clear" w:color="auto" w:fill="FFFFFF"/>
              </w:rPr>
              <w:t xml:space="preserve">хранная зона тепловой магистрали от ТК7С до ТК20С Магистраль 211 Западного сетевого района), </w:t>
            </w:r>
            <w:r w:rsidRPr="009C0189">
              <w:t>подземных линии связи, рядом остановка общественного транспорта</w:t>
            </w:r>
            <w:r>
              <w:t>), учтены в части</w:t>
            </w:r>
            <w:r w:rsidRPr="00ED7EF2">
              <w:t xml:space="preserve"> </w:t>
            </w:r>
            <w:r>
              <w:t xml:space="preserve">изменения </w:t>
            </w:r>
            <w:r w:rsidRPr="00ED7EF2">
              <w:t>группу реализуемых товаров</w:t>
            </w:r>
            <w:r>
              <w:t xml:space="preserve">: </w:t>
            </w:r>
            <w:proofErr w:type="spellStart"/>
            <w:r>
              <w:t>пр-кт</w:t>
            </w:r>
            <w:proofErr w:type="spellEnd"/>
            <w:r>
              <w:t xml:space="preserve"> Ленина. 155,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еверо</w:t>
            </w:r>
            <w:proofErr w:type="spellEnd"/>
            <w:r>
              <w:t>-Западная, 41</w:t>
            </w:r>
          </w:p>
          <w:p w:rsidR="00C91D21" w:rsidRDefault="00C91D21" w:rsidP="006A48D7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п.3. </w:t>
            </w:r>
            <w:r w:rsidRPr="00ED7EF2">
              <w:rPr>
                <w:rFonts w:eastAsia="Calibri"/>
                <w:lang w:eastAsia="en-US"/>
              </w:rPr>
              <w:t>учтено при доработке проекта постановления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C91D21" w:rsidRPr="00ED7EF2" w:rsidRDefault="00C91D21" w:rsidP="006A48D7">
            <w:pPr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п.4. </w:t>
            </w:r>
            <w:r w:rsidRPr="00ED7EF2">
              <w:rPr>
                <w:rFonts w:eastAsia="Calibri"/>
                <w:lang w:eastAsia="en-US"/>
              </w:rPr>
              <w:t>учтено при доработке проекта постановления.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Default="00C91D21" w:rsidP="006A48D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proofErr w:type="spellStart"/>
            <w:r w:rsidRPr="00ED7EF2">
              <w:t>Админист</w:t>
            </w:r>
            <w:proofErr w:type="spellEnd"/>
            <w:r>
              <w:t>-</w:t>
            </w:r>
            <w:r w:rsidRPr="00ED7EF2">
              <w:t xml:space="preserve">рация </w:t>
            </w:r>
            <w:proofErr w:type="spellStart"/>
            <w:r w:rsidRPr="00ED7EF2">
              <w:t>Октябрьско</w:t>
            </w:r>
            <w:r>
              <w:t>-</w:t>
            </w:r>
            <w:r w:rsidRPr="00ED7EF2">
              <w:t>го</w:t>
            </w:r>
            <w:proofErr w:type="spellEnd"/>
            <w:r w:rsidRPr="00ED7EF2">
              <w:t xml:space="preserve"> района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lastRenderedPageBreak/>
              <w:t>28.10.2021 №200/О-21/ОТВ-366</w:t>
            </w:r>
            <w:r w:rsidRPr="00ED7EF2">
              <w:t>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r w:rsidRPr="00ED7EF2">
              <w:lastRenderedPageBreak/>
              <w:t>О внесении изменений в схему размещения НТО:</w:t>
            </w:r>
            <w:r>
              <w:t xml:space="preserve"> увеличить площадь НТО по ул.80 Гвардейской Дивизии, 29г.</w:t>
            </w:r>
          </w:p>
        </w:tc>
        <w:tc>
          <w:tcPr>
            <w:tcW w:w="3118" w:type="dxa"/>
            <w:shd w:val="clear" w:color="auto" w:fill="auto"/>
          </w:tcPr>
          <w:p w:rsidR="00C91D21" w:rsidRDefault="00C91D21" w:rsidP="006A48D7">
            <w:pPr>
              <w:spacing w:line="260" w:lineRule="exact"/>
              <w:jc w:val="both"/>
            </w:pPr>
            <w:r>
              <w:rPr>
                <w:rFonts w:eastAsia="Calibri"/>
                <w:lang w:eastAsia="en-US"/>
              </w:rPr>
              <w:t xml:space="preserve">Предложение отклонено </w:t>
            </w:r>
            <w:r>
              <w:t>в связи с нахождением на инженерных сетях и их охранных зонах (</w:t>
            </w:r>
            <w:r w:rsidRPr="00702D80">
              <w:t xml:space="preserve">распложен в 3 –м поясе зоны санитарной охраны (ЗСО) </w:t>
            </w:r>
            <w:r w:rsidRPr="00702D80">
              <w:lastRenderedPageBreak/>
              <w:t>источников питьевого и хозяйственно-бытового снабжения</w:t>
            </w:r>
            <w:r>
              <w:t>, охранная зона линии связи).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Pr="00ED7EF2" w:rsidRDefault="00C91D21" w:rsidP="006A48D7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proofErr w:type="spellStart"/>
            <w:r w:rsidRPr="00ED7EF2">
              <w:t>Админист</w:t>
            </w:r>
            <w:proofErr w:type="spellEnd"/>
            <w:r>
              <w:t>-</w:t>
            </w:r>
            <w:r w:rsidRPr="00ED7EF2">
              <w:t xml:space="preserve">рация </w:t>
            </w:r>
            <w:proofErr w:type="spellStart"/>
            <w:r>
              <w:t>Индустри-ального</w:t>
            </w:r>
            <w:proofErr w:type="spellEnd"/>
            <w:r>
              <w:t xml:space="preserve"> района</w:t>
            </w:r>
            <w:r w:rsidRPr="00ED7EF2">
              <w:t xml:space="preserve"> </w:t>
            </w:r>
            <w:proofErr w:type="spellStart"/>
            <w:r w:rsidRPr="00ED7EF2">
              <w:t>г</w:t>
            </w:r>
            <w:proofErr w:type="gramStart"/>
            <w:r w:rsidRPr="00ED7EF2">
              <w:t>.Б</w:t>
            </w:r>
            <w:proofErr w:type="gramEnd"/>
            <w:r w:rsidRPr="00ED7EF2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>(</w:t>
            </w:r>
            <w:proofErr w:type="spellStart"/>
            <w:r w:rsidRPr="00ED7EF2">
              <w:t>вх</w:t>
            </w:r>
            <w:proofErr w:type="spellEnd"/>
            <w:r w:rsidRPr="00ED7EF2">
              <w:t xml:space="preserve">. от </w:t>
            </w:r>
            <w:r>
              <w:t>28.10.2021 №200/И-21/ОТВ-1923</w:t>
            </w:r>
            <w:r w:rsidRPr="00ED7EF2">
              <w:t>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pPr>
              <w:jc w:val="both"/>
            </w:pPr>
            <w:r w:rsidRPr="00ED7EF2">
              <w:t>О внесении изменений в схему размещения НТО:</w:t>
            </w:r>
          </w:p>
          <w:p w:rsidR="00C91D21" w:rsidRDefault="00C91D21" w:rsidP="006A48D7">
            <w:pPr>
              <w:jc w:val="both"/>
            </w:pPr>
            <w:r>
              <w:t>1. В</w:t>
            </w:r>
            <w:r w:rsidRPr="00ED7EF2">
              <w:t>ключить нов</w:t>
            </w:r>
            <w:r>
              <w:t>ые</w:t>
            </w:r>
            <w:r w:rsidRPr="00ED7EF2">
              <w:t xml:space="preserve"> мест</w:t>
            </w:r>
            <w:r>
              <w:t xml:space="preserve">а: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есенняя</w:t>
            </w:r>
            <w:proofErr w:type="spellEnd"/>
            <w:r>
              <w:t xml:space="preserve">, 4, </w:t>
            </w:r>
            <w:proofErr w:type="spellStart"/>
            <w:r>
              <w:t>ул.Балтийская</w:t>
            </w:r>
            <w:proofErr w:type="spellEnd"/>
            <w:r>
              <w:t xml:space="preserve">, 23, </w:t>
            </w:r>
            <w:proofErr w:type="spellStart"/>
            <w:r>
              <w:t>ул.Мамонтова</w:t>
            </w:r>
            <w:proofErr w:type="spellEnd"/>
            <w:r>
              <w:t xml:space="preserve">, </w:t>
            </w:r>
            <w:r w:rsidR="007D725B">
              <w:t>3</w:t>
            </w:r>
            <w:r>
              <w:t xml:space="preserve">4, </w:t>
            </w:r>
            <w:proofErr w:type="spellStart"/>
            <w:r>
              <w:t>ул.Антона</w:t>
            </w:r>
            <w:proofErr w:type="spellEnd"/>
            <w:r>
              <w:t xml:space="preserve"> Петрова, 221г, </w:t>
            </w:r>
            <w:proofErr w:type="spellStart"/>
            <w:r>
              <w:t>ул.Солнечная</w:t>
            </w:r>
            <w:proofErr w:type="spellEnd"/>
            <w:r>
              <w:t xml:space="preserve"> поляна, 94;</w:t>
            </w:r>
          </w:p>
          <w:p w:rsidR="00C91D21" w:rsidRPr="00ED7EF2" w:rsidRDefault="00C91D21" w:rsidP="006A48D7">
            <w:pPr>
              <w:jc w:val="both"/>
            </w:pPr>
            <w:r>
              <w:t>2. У</w:t>
            </w:r>
            <w:r w:rsidRPr="00ED7EF2">
              <w:t xml:space="preserve">величить площадь НТО </w:t>
            </w: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ласихинская</w:t>
            </w:r>
            <w:proofErr w:type="spellEnd"/>
            <w:r>
              <w:t xml:space="preserve">, </w:t>
            </w:r>
            <w:proofErr w:type="spellStart"/>
            <w:r>
              <w:t>ост.«Шумакова</w:t>
            </w:r>
            <w:proofErr w:type="spellEnd"/>
            <w:r>
              <w:t xml:space="preserve">» </w:t>
            </w:r>
            <w:r w:rsidRPr="00ED7EF2">
              <w:t xml:space="preserve">и </w:t>
            </w:r>
            <w:r>
              <w:t xml:space="preserve">изменить </w:t>
            </w:r>
            <w:r w:rsidRPr="00ED7EF2">
              <w:t>группу реализуемых товаров</w:t>
            </w:r>
            <w:r>
              <w:t xml:space="preserve"> НТО на пересечении </w:t>
            </w:r>
            <w:proofErr w:type="spellStart"/>
            <w:r>
              <w:t>ул.Панфиловцев</w:t>
            </w:r>
            <w:proofErr w:type="spellEnd"/>
            <w:r>
              <w:t xml:space="preserve"> и Павловского тракта.</w:t>
            </w:r>
          </w:p>
        </w:tc>
        <w:tc>
          <w:tcPr>
            <w:tcW w:w="3118" w:type="dxa"/>
            <w:shd w:val="clear" w:color="auto" w:fill="auto"/>
          </w:tcPr>
          <w:p w:rsidR="00C91D21" w:rsidRDefault="00C91D21" w:rsidP="006A48D7">
            <w:pPr>
              <w:spacing w:line="26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Предложения:</w:t>
            </w:r>
          </w:p>
          <w:p w:rsidR="00C91D21" w:rsidRDefault="00C91D21" w:rsidP="006A48D7">
            <w:pPr>
              <w:spacing w:line="260" w:lineRule="exact"/>
              <w:jc w:val="both"/>
            </w:pPr>
            <w:r>
              <w:rPr>
                <w:rFonts w:eastAsia="Calibri"/>
                <w:lang w:eastAsia="en-US"/>
              </w:rPr>
              <w:t xml:space="preserve">п.1. </w:t>
            </w:r>
            <w:r>
              <w:t xml:space="preserve">учтены 3 места </w:t>
            </w:r>
            <w:r w:rsidRPr="00ED7EF2">
              <w:rPr>
                <w:rFonts w:eastAsia="Calibri"/>
                <w:lang w:eastAsia="en-US"/>
              </w:rPr>
              <w:t>при доработке проекта постановления</w:t>
            </w:r>
            <w:r>
              <w:rPr>
                <w:rFonts w:eastAsia="Calibri"/>
                <w:lang w:eastAsia="en-US"/>
              </w:rPr>
              <w:t xml:space="preserve">: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алтийская</w:t>
            </w:r>
            <w:proofErr w:type="spellEnd"/>
            <w:r>
              <w:t xml:space="preserve">, 23, </w:t>
            </w:r>
            <w:proofErr w:type="spellStart"/>
            <w:r>
              <w:t>ул.Мамонтова</w:t>
            </w:r>
            <w:proofErr w:type="spellEnd"/>
            <w:r>
              <w:t xml:space="preserve">, </w:t>
            </w:r>
            <w:r w:rsidR="007D725B">
              <w:t>3</w:t>
            </w:r>
            <w:r>
              <w:t xml:space="preserve">4, </w:t>
            </w:r>
            <w:proofErr w:type="spellStart"/>
            <w:r>
              <w:t>ул.Антона</w:t>
            </w:r>
            <w:proofErr w:type="spellEnd"/>
            <w:r>
              <w:t xml:space="preserve"> Петрова, 221г, </w:t>
            </w:r>
            <w:proofErr w:type="spellStart"/>
            <w:r>
              <w:t>ул.Солнечная</w:t>
            </w:r>
            <w:proofErr w:type="spellEnd"/>
            <w:r>
              <w:t xml:space="preserve"> поляна, 94: место по </w:t>
            </w:r>
            <w:proofErr w:type="spellStart"/>
            <w:r>
              <w:t>ул.Весенняя</w:t>
            </w:r>
            <w:proofErr w:type="spellEnd"/>
            <w:r>
              <w:t xml:space="preserve">, 4 </w:t>
            </w:r>
            <w:r>
              <w:rPr>
                <w:rFonts w:eastAsia="Calibri"/>
                <w:lang w:eastAsia="en-US"/>
              </w:rPr>
              <w:t xml:space="preserve">отклонено </w:t>
            </w:r>
            <w:r>
              <w:t xml:space="preserve">в связи с нахождением на инженерных сетях и их охранных зонах (охранная зона подземных тепловых сетей, </w:t>
            </w:r>
            <w:r w:rsidRPr="00702D80">
              <w:t>распложен в 3 –м поясе зоны санитарной охраны (ЗСО) источников питьевого и хозяйственно-бытового снабжения</w:t>
            </w:r>
            <w:r>
              <w:t>);</w:t>
            </w:r>
          </w:p>
          <w:p w:rsidR="00C91D21" w:rsidRDefault="00C91D21" w:rsidP="006A48D7">
            <w:pPr>
              <w:spacing w:line="260" w:lineRule="exact"/>
              <w:jc w:val="both"/>
            </w:pPr>
            <w:r w:rsidRPr="00174EE3">
              <w:t xml:space="preserve">п.2. </w:t>
            </w:r>
            <w:r w:rsidRPr="00174EE3">
              <w:rPr>
                <w:rFonts w:eastAsia="Calibri"/>
                <w:lang w:eastAsia="en-US"/>
              </w:rPr>
              <w:t xml:space="preserve">отклонено </w:t>
            </w:r>
            <w:r w:rsidRPr="00174EE3">
              <w:t>в связи с нахождением на инженерных сетях и их охранных зонах</w:t>
            </w:r>
            <w:r>
              <w:t xml:space="preserve"> (газопровод)</w:t>
            </w:r>
            <w:r w:rsidRPr="00174EE3">
              <w:rPr>
                <w:rFonts w:eastAsia="Calibri"/>
                <w:lang w:eastAsia="en-US"/>
              </w:rPr>
              <w:t>.</w:t>
            </w:r>
          </w:p>
        </w:tc>
      </w:tr>
      <w:tr w:rsidR="00C91D21" w:rsidRPr="00ED7EF2" w:rsidTr="00C02917">
        <w:tc>
          <w:tcPr>
            <w:tcW w:w="567" w:type="dxa"/>
            <w:shd w:val="clear" w:color="auto" w:fill="auto"/>
          </w:tcPr>
          <w:p w:rsidR="00C91D21" w:rsidRPr="00ED7EF2" w:rsidRDefault="00C91D21" w:rsidP="006A48D7">
            <w:pPr>
              <w:jc w:val="center"/>
            </w:pPr>
            <w:r>
              <w:t>7</w:t>
            </w:r>
            <w:r w:rsidRPr="00ED7EF2"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C91D21" w:rsidRPr="00ED7EF2" w:rsidRDefault="00C91D21" w:rsidP="006A48D7">
            <w:r w:rsidRPr="00ED7EF2">
              <w:t xml:space="preserve">Правовой комитет </w:t>
            </w:r>
            <w:proofErr w:type="spellStart"/>
            <w:proofErr w:type="gramStart"/>
            <w:r w:rsidRPr="00ED7EF2">
              <w:t>администра</w:t>
            </w:r>
            <w:r>
              <w:t>-</w:t>
            </w:r>
            <w:r w:rsidRPr="00ED7EF2">
              <w:t>ции</w:t>
            </w:r>
            <w:proofErr w:type="spellEnd"/>
            <w:proofErr w:type="gramEnd"/>
            <w:r w:rsidRPr="00ED7EF2">
              <w:t xml:space="preserve"> города</w:t>
            </w:r>
          </w:p>
        </w:tc>
        <w:tc>
          <w:tcPr>
            <w:tcW w:w="1701" w:type="dxa"/>
            <w:shd w:val="clear" w:color="auto" w:fill="auto"/>
          </w:tcPr>
          <w:p w:rsidR="00C91D21" w:rsidRPr="00ED7EF2" w:rsidRDefault="00C91D21" w:rsidP="006A48D7">
            <w:r w:rsidRPr="00ED7EF2">
              <w:t xml:space="preserve">Обращение в письменном виде к разработчику проекта </w:t>
            </w:r>
          </w:p>
          <w:p w:rsidR="00C91D21" w:rsidRPr="00ED7EF2" w:rsidRDefault="00C91D21" w:rsidP="006A48D7">
            <w:r w:rsidRPr="00ED7EF2">
              <w:t xml:space="preserve">(от </w:t>
            </w:r>
            <w:r>
              <w:t>27.10.2021 №200/102/исх-209</w:t>
            </w:r>
            <w:r w:rsidRPr="00ED7EF2">
              <w:t>)</w:t>
            </w:r>
          </w:p>
        </w:tc>
        <w:tc>
          <w:tcPr>
            <w:tcW w:w="3402" w:type="dxa"/>
            <w:shd w:val="clear" w:color="auto" w:fill="auto"/>
          </w:tcPr>
          <w:p w:rsidR="00C91D21" w:rsidRPr="00ED7EF2" w:rsidRDefault="00C91D21" w:rsidP="006A48D7">
            <w:r>
              <w:t>О п</w:t>
            </w:r>
            <w:r w:rsidRPr="00ED7EF2">
              <w:t xml:space="preserve">риведение в соответствие вида НТО и площади места </w:t>
            </w:r>
            <w:bookmarkStart w:id="0" w:name="_GoBack"/>
            <w:bookmarkEnd w:id="0"/>
            <w:r w:rsidRPr="00ED7EF2">
              <w:t>размещения НТО с решением Барнаульской городской Думы от 03.06.2014 №325.</w:t>
            </w:r>
          </w:p>
        </w:tc>
        <w:tc>
          <w:tcPr>
            <w:tcW w:w="3118" w:type="dxa"/>
            <w:shd w:val="clear" w:color="auto" w:fill="auto"/>
          </w:tcPr>
          <w:p w:rsidR="00C91D21" w:rsidRPr="00ED7EF2" w:rsidRDefault="00C91D21" w:rsidP="006A48D7">
            <w:pPr>
              <w:jc w:val="both"/>
              <w:outlineLvl w:val="1"/>
            </w:pPr>
            <w:r w:rsidRPr="00ED7EF2">
              <w:rPr>
                <w:rFonts w:eastAsia="Calibri"/>
                <w:lang w:eastAsia="en-US"/>
              </w:rPr>
              <w:t>Предложени</w:t>
            </w:r>
            <w:r>
              <w:rPr>
                <w:rFonts w:eastAsia="Calibri"/>
                <w:lang w:eastAsia="en-US"/>
              </w:rPr>
              <w:t>я</w:t>
            </w:r>
            <w:r w:rsidRPr="00ED7EF2">
              <w:rPr>
                <w:rFonts w:eastAsia="Calibri"/>
                <w:lang w:eastAsia="en-US"/>
              </w:rPr>
              <w:t xml:space="preserve"> учтен</w:t>
            </w:r>
            <w:r>
              <w:rPr>
                <w:rFonts w:eastAsia="Calibri"/>
                <w:lang w:eastAsia="en-US"/>
              </w:rPr>
              <w:t>ы</w:t>
            </w:r>
            <w:r w:rsidRPr="00ED7EF2">
              <w:rPr>
                <w:rFonts w:eastAsia="Calibri"/>
                <w:lang w:eastAsia="en-US"/>
              </w:rPr>
              <w:t xml:space="preserve"> при доработке проекта постановления.</w:t>
            </w:r>
          </w:p>
        </w:tc>
      </w:tr>
    </w:tbl>
    <w:p w:rsidR="00A93F21" w:rsidRPr="00B83259" w:rsidRDefault="00A93F21" w:rsidP="00DD0439">
      <w:pPr>
        <w:tabs>
          <w:tab w:val="left" w:leader="underscore" w:pos="9356"/>
        </w:tabs>
        <w:spacing w:line="310" w:lineRule="exact"/>
        <w:ind w:firstLine="709"/>
        <w:jc w:val="both"/>
        <w:outlineLvl w:val="1"/>
        <w:rPr>
          <w:sz w:val="28"/>
          <w:szCs w:val="28"/>
        </w:rPr>
      </w:pPr>
      <w:proofErr w:type="gramStart"/>
      <w:r w:rsidRPr="00B83259">
        <w:rPr>
          <w:sz w:val="28"/>
          <w:szCs w:val="28"/>
        </w:rPr>
        <w:t>По результатам проведения публичного обсуждения принято решение                        о доработке сводного отчета о проведении оценки регулирующего воздействия,                   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</w:t>
      </w:r>
      <w:r w:rsidRPr="00B83259">
        <w:rPr>
          <w:rFonts w:eastAsia="Calibri"/>
          <w:sz w:val="28"/>
          <w:szCs w:val="28"/>
          <w:lang w:eastAsia="en-US"/>
        </w:rPr>
        <w:t xml:space="preserve"> и доработке проекта муниципального нормативного правового акта</w:t>
      </w:r>
      <w:r w:rsidRPr="00B83259">
        <w:rPr>
          <w:sz w:val="28"/>
          <w:szCs w:val="28"/>
        </w:rPr>
        <w:t>, их направлении ответственному</w:t>
      </w:r>
      <w:proofErr w:type="gramEnd"/>
      <w:r w:rsidRPr="00B83259">
        <w:rPr>
          <w:sz w:val="28"/>
          <w:szCs w:val="28"/>
        </w:rPr>
        <w:t xml:space="preserve"> за подготовку заключения.</w:t>
      </w:r>
    </w:p>
    <w:p w:rsidR="00A93F21" w:rsidRPr="00C0217F" w:rsidRDefault="00A93F21" w:rsidP="00DD0439">
      <w:pPr>
        <w:spacing w:line="310" w:lineRule="exact"/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DD0439">
      <w:pPr>
        <w:spacing w:line="310" w:lineRule="exact"/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DD0439">
      <w:pPr>
        <w:spacing w:line="310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C0217F" w:rsidRPr="00C0217F" w:rsidRDefault="00C0217F" w:rsidP="00DD0439">
      <w:pPr>
        <w:spacing w:line="310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82293F" w:rsidRPr="00C0217F" w:rsidRDefault="00C0217F" w:rsidP="00DD0439">
      <w:pPr>
        <w:tabs>
          <w:tab w:val="left" w:pos="7088"/>
        </w:tabs>
        <w:spacing w:line="310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 w:rsidR="000E2FB3">
        <w:rPr>
          <w:sz w:val="28"/>
          <w:szCs w:val="28"/>
        </w:rPr>
        <w:t xml:space="preserve">    </w:t>
      </w:r>
      <w:r w:rsidRPr="00C0217F">
        <w:rPr>
          <w:sz w:val="28"/>
          <w:szCs w:val="28"/>
        </w:rPr>
        <w:t xml:space="preserve">                         </w:t>
      </w:r>
      <w:proofErr w:type="spellStart"/>
      <w:r w:rsidR="000E2FB3">
        <w:rPr>
          <w:sz w:val="28"/>
          <w:szCs w:val="28"/>
        </w:rPr>
        <w:t>Н.В.Кротова</w:t>
      </w:r>
      <w:proofErr w:type="spellEnd"/>
    </w:p>
    <w:sectPr w:rsidR="0082293F" w:rsidRPr="00C0217F" w:rsidSect="00C91D2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C02917">
      <w:rPr>
        <w:noProof/>
      </w:rPr>
      <w:t>3</w:t>
    </w:r>
    <w:r w:rsidRPr="00B77F3A">
      <w:fldChar w:fldCharType="end"/>
    </w:r>
  </w:p>
  <w:p w:rsidR="00314D12" w:rsidRDefault="00C029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111BA7"/>
    <w:rsid w:val="00121D8B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73051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07E31"/>
    <w:rsid w:val="00716EDB"/>
    <w:rsid w:val="007171AC"/>
    <w:rsid w:val="00723F22"/>
    <w:rsid w:val="00730795"/>
    <w:rsid w:val="00732F47"/>
    <w:rsid w:val="007505EA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D725B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65415"/>
    <w:rsid w:val="00A809F7"/>
    <w:rsid w:val="00A904C9"/>
    <w:rsid w:val="00A9369C"/>
    <w:rsid w:val="00A93F21"/>
    <w:rsid w:val="00AA4497"/>
    <w:rsid w:val="00AC2301"/>
    <w:rsid w:val="00AF44F0"/>
    <w:rsid w:val="00AF49FD"/>
    <w:rsid w:val="00AF4AA4"/>
    <w:rsid w:val="00B06E36"/>
    <w:rsid w:val="00B22DE5"/>
    <w:rsid w:val="00B51CB8"/>
    <w:rsid w:val="00B737BC"/>
    <w:rsid w:val="00B745E6"/>
    <w:rsid w:val="00B76972"/>
    <w:rsid w:val="00B90A09"/>
    <w:rsid w:val="00BA4A9A"/>
    <w:rsid w:val="00BD4DA9"/>
    <w:rsid w:val="00BD634D"/>
    <w:rsid w:val="00BF3A04"/>
    <w:rsid w:val="00C009D2"/>
    <w:rsid w:val="00C0217F"/>
    <w:rsid w:val="00C02917"/>
    <w:rsid w:val="00C1340A"/>
    <w:rsid w:val="00C20CE7"/>
    <w:rsid w:val="00C40B3E"/>
    <w:rsid w:val="00C5500B"/>
    <w:rsid w:val="00C82D0B"/>
    <w:rsid w:val="00C91659"/>
    <w:rsid w:val="00C91D21"/>
    <w:rsid w:val="00C96508"/>
    <w:rsid w:val="00CB1F33"/>
    <w:rsid w:val="00CB7AED"/>
    <w:rsid w:val="00CF6903"/>
    <w:rsid w:val="00CF7592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439"/>
    <w:rsid w:val="00DD0BD8"/>
    <w:rsid w:val="00DD2E5E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22EC"/>
    <w:rsid w:val="00F33E35"/>
    <w:rsid w:val="00F4530E"/>
    <w:rsid w:val="00F4708D"/>
    <w:rsid w:val="00F612E3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188A-9487-413C-AF37-33237663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12</cp:revision>
  <cp:lastPrinted>2020-09-10T01:09:00Z</cp:lastPrinted>
  <dcterms:created xsi:type="dcterms:W3CDTF">2021-11-15T02:36:00Z</dcterms:created>
  <dcterms:modified xsi:type="dcterms:W3CDTF">2021-12-13T07:07:00Z</dcterms:modified>
</cp:coreProperties>
</file>