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по работе с устными и письменными обращениями, поступившими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от граждан по вопросам потребительского рынка, труда и развития предпринимательства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квартал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241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комитете по развитию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ьства, потребительскому рынку и </w:t>
      </w:r>
      <w:r>
        <w:rPr>
          <w:rFonts w:ascii="Times New Roman" w:hAnsi="Times New Roman" w:cs="Times New Roman"/>
          <w:sz w:val="28"/>
          <w:szCs w:val="28"/>
        </w:rPr>
        <w:t xml:space="preserve">вопросам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подведены итоги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работе с устными и письменными обращениями граждан. Всего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городской комитет 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150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по сравнению </w:t>
      </w:r>
      <w:r>
        <w:rPr>
          <w:rFonts w:ascii="Times New Roman" w:hAnsi="Times New Roman" w:cs="Times New Roman"/>
          <w:sz w:val="28"/>
          <w:szCs w:val="28"/>
        </w:rPr>
        <w:t xml:space="preserve">с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годом обращения у</w:t>
      </w:r>
      <w:r>
        <w:rPr>
          <w:rFonts w:ascii="Times New Roman" w:hAnsi="Times New Roman" w:cs="Times New Roman"/>
          <w:sz w:val="28"/>
          <w:szCs w:val="28"/>
        </w:rPr>
        <w:t xml:space="preserve"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% (показано на диаграмме).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241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66675</wp:posOffset>
            </wp:positionV>
            <wp:extent cx="5076825" cy="3305175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Все обращения рассмотрены, 53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из них с выездом на место,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89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дано разъяснение,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 обращений был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по компетенции в надзорные органы.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Анализ тематической структуры обращений граждан показывает, что основными темами обращений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– вопросы труда (невыплата з/платы, выходного пособия, помочь трудоустроиться и др.) по сравн</w:t>
      </w:r>
      <w:r>
        <w:rPr>
          <w:rFonts w:ascii="Times New Roman" w:hAnsi="Times New Roman" w:cs="Times New Roman"/>
          <w:sz w:val="28"/>
          <w:szCs w:val="28"/>
        </w:rPr>
        <w:t xml:space="preserve">ению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остались без изменений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вопросы</w:t>
      </w:r>
      <w:r>
        <w:rPr>
          <w:rFonts w:ascii="Times New Roman" w:hAnsi="Times New Roman"/>
          <w:sz w:val="28"/>
          <w:szCs w:val="28"/>
        </w:rPr>
        <w:t xml:space="preserve"> ограничения</w:t>
      </w:r>
      <w:r>
        <w:rPr>
          <w:rFonts w:ascii="Times New Roman" w:hAnsi="Times New Roman"/>
          <w:sz w:val="28"/>
          <w:szCs w:val="28"/>
        </w:rPr>
        <w:t xml:space="preserve"> режима работы предприятий </w:t>
      </w:r>
      <w:r>
        <w:rPr>
          <w:rFonts w:ascii="Times New Roman" w:hAnsi="Times New Roman"/>
          <w:sz w:val="28"/>
          <w:szCs w:val="28"/>
        </w:rPr>
        <w:t xml:space="preserve">торговли,</w:t>
      </w:r>
      <w:r>
        <w:rPr>
          <w:rFonts w:ascii="Times New Roman" w:hAnsi="Times New Roman"/>
          <w:sz w:val="28"/>
          <w:szCs w:val="28"/>
        </w:rPr>
        <w:t xml:space="preserve"> связанные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нарушением общественного порядка</w:t>
      </w:r>
      <w:r>
        <w:rPr>
          <w:rFonts w:ascii="Times New Roman" w:hAnsi="Times New Roman"/>
          <w:sz w:val="28"/>
          <w:szCs w:val="28"/>
        </w:rPr>
        <w:t xml:space="preserve"> (распитие алкогольной продукции во дворах, шум от работающих машин, звучание громкой музыки и др.). В сравнении </w:t>
      </w:r>
      <w:r>
        <w:rPr>
          <w:rFonts w:ascii="Times New Roman" w:hAnsi="Times New Roman"/>
          <w:sz w:val="28"/>
          <w:szCs w:val="28"/>
        </w:rPr>
        <w:br/>
        <w:t xml:space="preserve">с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 xml:space="preserve">дом количество обращений увеличилось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27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– вопросы, относящиес</w:t>
      </w:r>
      <w:r>
        <w:rPr>
          <w:rFonts w:ascii="Times New Roman" w:hAnsi="Times New Roman"/>
          <w:sz w:val="28"/>
          <w:szCs w:val="28"/>
        </w:rPr>
        <w:t xml:space="preserve">я к несанкционированной торговле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по сравнению </w:t>
      </w:r>
      <w:r>
        <w:rPr>
          <w:rFonts w:ascii="Times New Roman" w:hAnsi="Times New Roman"/>
          <w:sz w:val="28"/>
          <w:szCs w:val="28"/>
        </w:rPr>
        <w:t xml:space="preserve">с 2024 годом,</w:t>
      </w:r>
      <w:r>
        <w:rPr>
          <w:rFonts w:ascii="Times New Roman" w:hAnsi="Times New Roman"/>
          <w:sz w:val="28"/>
          <w:szCs w:val="28"/>
        </w:rPr>
        <w:t xml:space="preserve"> остались без изменений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– в</w:t>
      </w:r>
      <w:r>
        <w:rPr>
          <w:rFonts w:ascii="Times New Roman" w:hAnsi="Times New Roman"/>
          <w:sz w:val="28"/>
          <w:szCs w:val="28"/>
        </w:rPr>
        <w:t xml:space="preserve">опросы взаимоотношений садоводческих товариществ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администрацией города, взаимодействия с сельскохозяйственными предприятиями, ЛПХ</w:t>
      </w:r>
      <w:r>
        <w:rPr>
          <w:rFonts w:ascii="Times New Roman" w:hAnsi="Times New Roman"/>
          <w:sz w:val="28"/>
          <w:szCs w:val="28"/>
        </w:rPr>
        <w:t xml:space="preserve">, оптовыми предприятиями торгов</w:t>
      </w:r>
      <w:r>
        <w:rPr>
          <w:rFonts w:ascii="Times New Roman" w:hAnsi="Times New Roman"/>
          <w:sz w:val="28"/>
          <w:szCs w:val="28"/>
        </w:rPr>
        <w:t xml:space="preserve">ли</w:t>
      </w:r>
      <w:r>
        <w:rPr>
          <w:rFonts w:ascii="Times New Roman" w:hAnsi="Times New Roman"/>
          <w:sz w:val="28"/>
          <w:szCs w:val="28"/>
        </w:rPr>
        <w:t xml:space="preserve">, по сравнению </w:t>
      </w:r>
      <w:r>
        <w:rPr>
          <w:rFonts w:ascii="Times New Roman" w:hAnsi="Times New Roman"/>
          <w:sz w:val="28"/>
          <w:szCs w:val="28"/>
        </w:rPr>
        <w:br/>
        <w:t xml:space="preserve">с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годом </w:t>
      </w:r>
      <w:r>
        <w:rPr>
          <w:rFonts w:ascii="Times New Roman" w:hAnsi="Times New Roman"/>
          <w:sz w:val="28"/>
          <w:szCs w:val="28"/>
        </w:rPr>
        <w:t xml:space="preserve">уменьшились на 21,4</w:t>
      </w:r>
      <w:r>
        <w:rPr>
          <w:rFonts w:ascii="Times New Roman" w:hAnsi="Times New Roman"/>
          <w:sz w:val="28"/>
          <w:szCs w:val="28"/>
        </w:rPr>
        <w:t xml:space="preserve">%.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вопросы бла</w:t>
      </w:r>
      <w:r>
        <w:rPr>
          <w:rFonts w:ascii="Times New Roman" w:hAnsi="Times New Roman"/>
          <w:sz w:val="28"/>
          <w:szCs w:val="28"/>
        </w:rPr>
        <w:t xml:space="preserve">гоустройства по сравнению с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годом увеличились</w:t>
      </w:r>
      <w:r>
        <w:rPr>
          <w:rFonts w:ascii="Times New Roman" w:hAnsi="Times New Roman"/>
          <w:sz w:val="28"/>
          <w:szCs w:val="28"/>
        </w:rPr>
        <w:t xml:space="preserve"> на 66,66%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Работа в данном направлении продолжается.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Тематическая структура наиболее актуальных обращений граждан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81675" cy="4095750"/>
            <wp:effectExtent l="0" t="0" r="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eastAsiaTheme="minorEastAsia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character" w:styleId="623">
    <w:name w:val="Strong"/>
    <w:basedOn w:val="618"/>
    <w:uiPriority w:val="22"/>
    <w:qFormat/>
    <w:rPr>
      <w:b/>
      <w:bCs/>
    </w:rPr>
  </w:style>
  <w:style w:type="character" w:styleId="624" w:customStyle="1">
    <w:name w:val="apple-converted-space"/>
    <w:basedOn w:val="61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hart" Target="charts/chart1.xml" /><Relationship Id="rId10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chartUserShapes" Target="../drawings/drawing1.xml" /><Relationship Id="rId2" Type="http://schemas.openxmlformats.org/officeDocument/2006/relationships/themeOverride" Target="../theme/themeOverride1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37"/>
    </mc:Choice>
    <mc:Fallback>
      <c:style val="37"/>
    </mc:Fallback>
  </mc:AlternateContent>
  <c:chart>
    <c:title>
      <c:tx>
        <c:rich>
          <a:bodyPr/>
          <a:lstStyle/>
          <a:p>
            <a:pPr>
              <a:defRPr sz="1400">
                <a:latin typeface="Times New Roman"/>
                <a:cs typeface="Times New Roman"/>
              </a:defRPr>
            </a:pPr>
            <a:r>
              <a:rPr lang="ru-RU" sz="1400">
                <a:latin typeface="Times New Roman"/>
                <a:cs typeface="Times New Roman"/>
              </a:rPr>
              <a:t>Количество обращений</a:t>
            </a:r>
            <a:endParaRPr/>
          </a:p>
          <a:p>
            <a:pPr>
              <a:defRPr sz="1400">
                <a:latin typeface="Times New Roman"/>
                <a:cs typeface="Times New Roman"/>
              </a:defRPr>
            </a:pPr>
            <a:endParaRPr lang="ru-RU" sz="1400">
              <a:latin typeface="Times New Roman"/>
              <a:cs typeface="Times New Roman"/>
            </a:endParaRPr>
          </a:p>
        </c:rich>
      </c:tx>
      <c:layout>
        <c:manualLayout>
          <c:xMode val="edge"/>
          <c:yMode val="edge"/>
          <c:x val="0.316521"/>
          <c:y val="0.00000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81558"/>
          <c:y val="0.054097"/>
          <c:w val="0.524446"/>
          <c:h val="0.87835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количество обращений 2020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 xml:space="preserve">2025  год </c:v>
                </c:pt>
                <c:pt idx="1">
                  <c:v xml:space="preserve">2024  год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150</c:v>
                </c:pt>
                <c:pt idx="1">
                  <c:v>147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количество обращений 2021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 xml:space="preserve">2025  год </c:v>
                </c:pt>
                <c:pt idx="1">
                  <c:v xml:space="preserve">2024  год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-482581088"/>
        <c:axId val="-482574016"/>
      </c:bar3DChart>
      <c:catAx>
        <c:axId val="-482581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/>
                <a:cs typeface="Times New Roman"/>
              </a:defRPr>
            </a:pPr>
            <a:endParaRPr lang="ru-RU"/>
          </a:p>
        </c:txPr>
        <c:crossAx val="-482574016"/>
        <c:crosses val="autoZero"/>
        <c:auto val="1"/>
        <c:lblAlgn val="ctr"/>
        <c:lblOffset val="100"/>
        <c:noMultiLvlLbl val="0"/>
      </c:catAx>
      <c:valAx>
        <c:axId val="-482574016"/>
        <c:scaling>
          <c:orientation val="minMax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/>
                <a:cs typeface="Times New Roman"/>
              </a:defRPr>
            </a:pPr>
            <a:endParaRPr lang="ru-RU"/>
          </a:p>
        </c:txPr>
        <c:crossAx val="-482581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37"/>
    </mc:Choice>
    <mc:Fallback>
      <c:style val="3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79835"/>
          <c:y val="0.197916"/>
          <c:w val="0.868103"/>
          <c:h val="0.629430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Тематическая структура обращений граждан</c:v>
                </c:pt>
              </c:strCache>
            </c:strRef>
          </c:tx>
          <c:explosion val="46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  <c:explosion val="108"/>
          </c:dPt>
          <c:dLbls>
            <c:dLbl>
              <c:idx val="0"/>
              <c:layout>
                <c:manualLayout>
                  <c:x val="-0.064197"/>
                  <c:y val="-0.033912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/>
              <c:tx>
                <c:rich>
                  <a:bodyPr/>
                  <a:lstStyle/>
                  <a:p>
                    <a:pPr>
                      <a:defRPr sz="1000" spc="-100">
                        <a:latin typeface="Times New Roman"/>
                        <a:cs typeface="Times New Roman"/>
                      </a:defRPr>
                    </a:pPr>
                    <a:r>
                      <a:rPr lang="ru-RU" sz="1000" spc="-100"/>
                      <a:t>Вопросы труда </a:t>
                    </a:r>
                    <a:br>
                      <a:rPr lang="ru-RU" sz="1000" spc="-100"/>
                    </a:br>
                    <a:r>
                      <a:rPr lang="ru-RU" sz="1000" b="1" spc="-100"/>
                      <a:t>1,0%</a:t>
                    </a:r>
                    <a:endParaRPr lang="ru-RU" sz="1000" b="1"/>
                  </a:p>
                </c:rich>
              </c:tx>
            </c:dLbl>
            <c:dLbl>
              <c:idx val="1"/>
              <c:layout>
                <c:manualLayout>
                  <c:x val="-0.059150"/>
                  <c:y val="-0.047792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 sz="1050" spc="-100"/>
                      <a:t>Об ограничении режима работы предприятий торговли</a:t>
                    </a:r>
                    <a:br>
                      <a:rPr lang="ru-RU" sz="1050" spc="-100"/>
                    </a:br>
                    <a:r>
                      <a:rPr lang="ru-RU" sz="1050" b="1" spc="-100"/>
                      <a:t>15%</a:t>
                    </a:r>
                    <a:endParaRPr lang="ru-RU" b="1"/>
                  </a:p>
                </c:rich>
              </c:tx>
            </c:dLbl>
            <c:dLbl>
              <c:idx val="2"/>
              <c:layout>
                <c:manualLayout>
                  <c:x val="-0.372988"/>
                  <c:y val="-0.180713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/>
              <c:tx>
                <c:rich>
                  <a:bodyPr/>
                  <a:lstStyle/>
                  <a:p>
                    <a:pPr>
                      <a:defRPr sz="1000" spc="-100">
                        <a:latin typeface="Times New Roman"/>
                        <a:cs typeface="Times New Roman"/>
                      </a:defRPr>
                    </a:pPr>
                    <a:r>
                      <a:rPr lang="ru-RU" sz="1000" spc="-100"/>
                      <a:t>Несанкционированная торговля</a:t>
                    </a:r>
                    <a:br>
                      <a:rPr lang="ru-RU" sz="1000" spc="-100"/>
                    </a:br>
                    <a:r>
                      <a:rPr lang="ru-RU" sz="1000" b="1" spc="-100"/>
                      <a:t>6,0%</a:t>
                    </a:r>
                    <a:endParaRPr lang="ru-RU" sz="1000" b="1"/>
                  </a:p>
                </c:rich>
              </c:tx>
            </c:dLbl>
            <c:dLbl>
              <c:idx val="3"/>
              <c:layout>
                <c:manualLayout>
                  <c:x val="-0.224667"/>
                  <c:y val="-0.196843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/>
              <c:tx>
                <c:rich>
                  <a:bodyPr/>
                  <a:lstStyle/>
                  <a:p>
                    <a:pPr>
                      <a:defRPr sz="1000" spc="-100">
                        <a:latin typeface="Times New Roman"/>
                        <a:cs typeface="Times New Roman"/>
                      </a:defRPr>
                    </a:pPr>
                    <a:r>
                      <a:rPr lang="ru-RU" sz="1000" spc="-100"/>
                      <a:t>Вопросы развития предпринимательства</a:t>
                    </a:r>
                    <a:br>
                      <a:rPr lang="ru-RU" sz="1000" spc="-100"/>
                    </a:br>
                    <a:r>
                      <a:rPr lang="ru-RU" sz="1000" b="1" spc="-100"/>
                      <a:t>0%</a:t>
                    </a:r>
                    <a:endParaRPr lang="ru-RU" sz="1000" b="1"/>
                  </a:p>
                </c:rich>
              </c:tx>
            </c:dLbl>
            <c:dLbl>
              <c:idx val="4"/>
              <c:layout>
                <c:manualLayout>
                  <c:x val="-0.060178"/>
                  <c:y val="-0.373292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/>
              <c:tx>
                <c:rich>
                  <a:bodyPr/>
                  <a:lstStyle/>
                  <a:p>
                    <a:pPr>
                      <a:defRPr sz="1000" spc="-100">
                        <a:latin typeface="Times New Roman"/>
                        <a:cs typeface="Times New Roman"/>
                      </a:defRPr>
                    </a:pPr>
                    <a:r>
                      <a:rPr lang="ru-RU" sz="1000" spc="-100"/>
                      <a:t>Нарушения правил торговли</a:t>
                    </a:r>
                    <a:br>
                      <a:rPr lang="ru-RU" sz="1000" spc="-100"/>
                    </a:br>
                    <a:r>
                      <a:rPr lang="ru-RU" sz="1000" b="1" spc="-100"/>
                      <a:t>0%</a:t>
                    </a:r>
                    <a:endParaRPr lang="ru-RU" sz="1000" b="1"/>
                  </a:p>
                </c:rich>
              </c:tx>
            </c:dLbl>
            <c:dLbl>
              <c:idx val="5"/>
              <c:layout>
                <c:manualLayout>
                  <c:x val="0.022504"/>
                  <c:y val="-0.253730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/>
              <c:tx>
                <c:rich>
                  <a:bodyPr/>
                  <a:lstStyle/>
                  <a:p>
                    <a:pPr>
                      <a:defRPr sz="1000" spc="-100">
                        <a:latin typeface="Times New Roman"/>
                        <a:cs typeface="Times New Roman"/>
                      </a:defRPr>
                    </a:pPr>
                    <a:r>
                      <a:rPr lang="ru-RU" sz="1000" spc="-100"/>
                      <a:t>Нарушения прав потребителей</a:t>
                    </a:r>
                    <a:br>
                      <a:rPr lang="ru-RU" sz="1000" spc="-100"/>
                    </a:br>
                    <a:r>
                      <a:rPr lang="ru-RU" sz="1000" b="1" spc="-100"/>
                      <a:t>0%</a:t>
                    </a:r>
                    <a:endParaRPr lang="ru-RU" sz="1000" b="1"/>
                  </a:p>
                </c:rich>
              </c:tx>
            </c:dLbl>
            <c:dLbl>
              <c:idx val="6"/>
              <c:layout>
                <c:manualLayout>
                  <c:x val="0.038458"/>
                  <c:y val="-0.035489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/>
              <c:tx>
                <c:rich>
                  <a:bodyPr/>
                  <a:lstStyle/>
                  <a:p>
                    <a:pPr>
                      <a:defRPr sz="1000" spc="-100">
                        <a:latin typeface="Times New Roman"/>
                        <a:cs typeface="Times New Roman"/>
                      </a:defRPr>
                    </a:pPr>
                    <a:r>
                      <a:rPr lang="ru-RU" sz="1000" spc="-100"/>
                      <a:t>О предоставлении торговых мест </a:t>
                    </a:r>
                    <a:br>
                      <a:rPr lang="ru-RU" sz="1000" spc="-100"/>
                    </a:br>
                    <a:r>
                      <a:rPr lang="ru-RU" sz="1000" b="1" spc="-100"/>
                      <a:t>2,0%</a:t>
                    </a:r>
                    <a:endParaRPr lang="ru-RU" sz="1000" b="1"/>
                  </a:p>
                </c:rich>
              </c:tx>
            </c:dLbl>
            <c:dLbl>
              <c:idx val="7"/>
              <c:layout>
                <c:manualLayout>
                  <c:x val="0.032823"/>
                  <c:y val="0.090215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/>
              <c:tx>
                <c:rich>
                  <a:bodyPr/>
                  <a:lstStyle/>
                  <a:p>
                    <a:pPr>
                      <a:defRPr sz="1000" spc="-100">
                        <a:latin typeface="Times New Roman"/>
                        <a:cs typeface="Times New Roman"/>
                      </a:defRPr>
                    </a:pPr>
                    <a:r>
                      <a:rPr lang="ru-RU" sz="1000" spc="-100"/>
                      <a:t>Вопросы промышленности </a:t>
                    </a:r>
                    <a:br>
                      <a:rPr lang="ru-RU" sz="1000" spc="-100"/>
                    </a:br>
                    <a:r>
                      <a:rPr lang="ru-RU" sz="1000" b="1" spc="-100"/>
                      <a:t>0%</a:t>
                    </a:r>
                    <a:endParaRPr lang="ru-RU" sz="1000" b="1"/>
                  </a:p>
                </c:rich>
              </c:tx>
            </c:dLbl>
            <c:dLbl>
              <c:idx val="8"/>
              <c:layout>
                <c:manualLayout>
                  <c:x val="0.009080"/>
                  <c:y val="0.215504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/>
              <c:tx>
                <c:rich>
                  <a:bodyPr/>
                  <a:lstStyle/>
                  <a:p>
                    <a:pPr>
                      <a:defRPr sz="1000" spc="-100">
                        <a:latin typeface="Times New Roman"/>
                        <a:cs typeface="Times New Roman"/>
                      </a:defRPr>
                    </a:pPr>
                    <a:r>
                      <a:rPr lang="ru-RU" sz="1000" spc="-100"/>
                      <a:t>О закрытии магазинов</a:t>
                    </a:r>
                    <a:br>
                      <a:rPr lang="ru-RU" sz="1000" spc="-100"/>
                    </a:br>
                    <a:r>
                      <a:rPr lang="ru-RU" sz="1000" b="1" spc="-100"/>
                      <a:t>0%</a:t>
                    </a:r>
                    <a:endParaRPr lang="ru-RU" sz="1000" b="1"/>
                  </a:p>
                </c:rich>
              </c:tx>
            </c:dLbl>
            <c:dLbl>
              <c:idx val="9"/>
              <c:layout>
                <c:manualLayout>
                  <c:x val="-0.142836"/>
                  <c:y val="0.305866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/>
              <c:tx>
                <c:rich>
                  <a:bodyPr/>
                  <a:lstStyle/>
                  <a:p>
                    <a:pPr>
                      <a:defRPr sz="1000" spc="-100">
                        <a:latin typeface="Times New Roman"/>
                        <a:cs typeface="Times New Roman"/>
                      </a:defRPr>
                    </a:pPr>
                    <a:r>
                      <a:rPr lang="ru-RU" sz="1000" spc="-100"/>
                      <a:t>Вопросы благоустройства</a:t>
                    </a:r>
                    <a:br>
                      <a:rPr lang="ru-RU" sz="1000" spc="-100"/>
                    </a:br>
                    <a:r>
                      <a:rPr lang="ru-RU" sz="1000" b="1" spc="-100"/>
                      <a:t>0%</a:t>
                    </a:r>
                    <a:endParaRPr lang="ru-RU" sz="1000" b="1"/>
                  </a:p>
                </c:rich>
              </c:tx>
            </c:dLbl>
            <c:dLbl>
              <c:idx val="10"/>
              <c:layout>
                <c:manualLayout>
                  <c:x val="-0.218208"/>
                  <c:y val="0.163404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/>
              <c:tx>
                <c:rich>
                  <a:bodyPr/>
                  <a:lstStyle/>
                  <a:p>
                    <a:pPr>
                      <a:defRPr sz="1000" spc="-100">
                        <a:latin typeface="Times New Roman"/>
                        <a:cs typeface="Times New Roman"/>
                      </a:defRPr>
                    </a:pPr>
                    <a:r>
                      <a:rPr lang="ru-RU"/>
                      <a:t>Прочие вопросы </a:t>
                    </a:r>
                    <a:br>
                      <a:rPr lang="ru-RU"/>
                    </a:br>
                    <a:r>
                      <a:rPr lang="ru-RU" b="1"/>
                      <a:t>10%</a:t>
                    </a:r>
                    <a:endParaRPr/>
                  </a:p>
                </c:rich>
              </c:tx>
            </c:dLbl>
            <c:dLbl>
              <c:idx val="11"/>
              <c:layout>
                <c:manualLayout>
                  <c:x val="-0.156548"/>
                  <c:y val="0.068787"/>
                </c:manualLayout>
              </c:layout>
              <c:showBubbleSize val="0"/>
              <c:showCatName val="1"/>
              <c:showLegendKey val="0"/>
              <c:showPercent val="1"/>
              <c:showSerName val="0"/>
              <c:showVal val="0"/>
              <c:spPr bwMode="auto"/>
              <c:tx>
                <c:rich>
                  <a:bodyPr/>
                  <a:lstStyle/>
                  <a:p>
                    <a:pPr>
                      <a:defRPr sz="1000" spc="-100">
                        <a:latin typeface="Times New Roman"/>
                        <a:cs typeface="Times New Roman"/>
                      </a:defRPr>
                    </a:pPr>
                    <a:r>
                      <a:rPr lang="ru-RU"/>
                      <a:t>ЛПХ</a:t>
                    </a:r>
                    <a:br>
                      <a:rPr lang="ru-RU"/>
                    </a:br>
                    <a:r>
                      <a:rPr lang="ru-RU" b="1"/>
                      <a:t>8,0%</a:t>
                    </a:r>
                    <a:endParaRPr/>
                  </a:p>
                </c:rich>
              </c:tx>
            </c:dLbl>
            <c:leaderLines>
              <c:spPr bwMode="auto">
                <a:prstGeom prst="rect">
                  <a:avLst/>
                </a:prstGeom>
                <a:ln w="9525" cap="flat" cmpd="sng" algn="ctr">
                  <a:solidFill>
                    <a:schemeClr val="accent3">
                      <a:shade val="95000"/>
                      <a:satMod val="105000"/>
                    </a:schemeClr>
                  </a:solidFill>
                  <a:prstDash val="solid"/>
                </a:ln>
                <a:effectLst/>
              </c:spPr>
            </c:leaderLines>
            <c:showBubbleSize val="0"/>
            <c:showCatName val="1"/>
            <c:showLeaderLines val="1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spc="-100">
                    <a:latin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Лист1!$A$2:$A$13</c:f>
              <c:strCache>
                <c:ptCount val="12"/>
                <c:pt idx="0">
                  <c:v xml:space="preserve">Вопросы труда </c:v>
                </c:pt>
                <c:pt idx="1">
                  <c:v xml:space="preserve">Об ограничении режима работы предприятий торговли</c:v>
                </c:pt>
                <c:pt idx="2">
                  <c:v xml:space="preserve">Несанкционированная торговля</c:v>
                </c:pt>
                <c:pt idx="3">
                  <c:v xml:space="preserve">Вопросы развития предпринимательства</c:v>
                </c:pt>
                <c:pt idx="4">
                  <c:v xml:space="preserve">Нарушения правил торговли</c:v>
                </c:pt>
                <c:pt idx="5">
                  <c:v xml:space="preserve">Нарушения прав потребителей</c:v>
                </c:pt>
                <c:pt idx="6">
                  <c:v xml:space="preserve">О предоставлении торговых мест </c:v>
                </c:pt>
                <c:pt idx="7">
                  <c:v xml:space="preserve">Вопросы промышленности </c:v>
                </c:pt>
                <c:pt idx="8">
                  <c:v xml:space="preserve">Вопросы благоустройства</c:v>
                </c:pt>
                <c:pt idx="9">
                  <c:v xml:space="preserve">О закрытии магазинов</c:v>
                </c:pt>
                <c:pt idx="10">
                  <c:v xml:space="preserve">Прочие вопросы </c:v>
                </c:pt>
                <c:pt idx="11">
                  <c:v>ЛПХ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</c:v>
                </c:pt>
                <c:pt idx="1">
                  <c:v>70</c:v>
                </c:pt>
                <c:pt idx="2">
                  <c:v>12</c:v>
                </c:pt>
                <c:pt idx="3">
                  <c:v>7</c:v>
                </c:pt>
                <c:pt idx="4">
                  <c:v>4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5</c:v>
                </c:pt>
                <c:pt idx="9">
                  <c:v>0</c:v>
                </c:pt>
                <c:pt idx="10">
                  <c:v>23</c:v>
                </c:pt>
                <c:pt idx="11">
                  <c:v>22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</c:pie3DChart>
    </c:plotArea>
    <c:plotVisOnly val="1"/>
    <c:dispBlanksAs val="gap"/>
    <c:showDLblsOverMax val="0"/>
  </c:chart>
  <c:spPr bwMode="auto">
    <a:prstGeom prst="rect">
      <a:avLst/>
    </a:prstGeom>
    <a:ln>
      <a:solidFill>
        <a:schemeClr val="bg1"/>
      </a:solidFill>
    </a:ln>
  </c:spPr>
  <c:externalData r:id="rId3">
    <c:autoUpdate val="0"/>
  </c:externalData>
  <c:userShapes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 r:id="rId1"/>
</c:chartSpace>
</file>

<file path=word/drawings/_rels/.rels><?xml version="1.0" encoding="UTF-8" standalone="yes"?><Relationships xmlns="http://schemas.openxmlformats.org/package/2006/relationships"></Relationships>
</file>

<file path=word/drawings/drawing1.xml><?xml version="1.0" encoding="utf-8"?>
<c:userShapes xmlns:c="http://schemas.openxmlformats.org/drawingml/2006/chart" xmlns:cdr="http://schemas.openxmlformats.org/drawingml/2006/chartDrawing" xmlns:a="http://schemas.openxmlformats.org/drawingml/2006/main" xmlns:r="http://schemas.openxmlformats.org/officeDocument/2006/relationships">
  <cdr:relSizeAnchor>
    <cdr:from>
      <cdr:x>0.70674999999999999</cdr:x>
      <cdr:y>0.21628</cdr:y>
    </cdr:from>
    <cdr:to>
      <cdr:x>0.79242000000000001</cdr:x>
      <cdr:y>0.40233000000000002</cdr:y>
    </cdr:to>
    <cdr:cxnSp>
      <cdr:nvCxnSpPr>
        <cdr:cNvPr id="2" name="Прямая соединительная линия 1"/>
        <cdr:cNvCxnSpPr>
          <a:cxnSpLocks/>
        </cdr:cNvCxnSpPr>
      </cdr:nvCxnSpPr>
      <cdr:spPr bwMode="auto">
        <a:xfrm>
          <a:off x="4086225" y="885825"/>
          <a:ext cx="495300" cy="762000"/>
        </a:xfrm>
        <a:prstGeom prst="line">
          <a:avLst/>
        </a:prstGeom>
      </cdr:spPr>
      <cdr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cdr:style>
    </cdr:cxnSp>
  </cdr:relSizeAnchor>
  <cdr:relSizeAnchor>
    <cdr:from>
      <cdr:x>0.50082000000000004</cdr:x>
      <cdr:y>0.18140000000000001</cdr:y>
    </cdr:from>
    <cdr:to>
      <cdr:x>0.68862999999999996</cdr:x>
      <cdr:y>0.36047000000000001</cdr:y>
    </cdr:to>
    <cdr:cxnSp>
      <cdr:nvCxnSpPr>
        <cdr:cNvPr id="6" name="Прямая соединительная линия 5"/>
        <cdr:cNvCxnSpPr>
          <a:cxnSpLocks/>
        </cdr:cNvCxnSpPr>
      </cdr:nvCxnSpPr>
      <cdr:spPr bwMode="auto">
        <a:xfrm flipH="1" flipV="1">
          <a:off x="2895600" y="742950"/>
          <a:ext cx="1085851" cy="733426"/>
        </a:xfrm>
        <a:prstGeom prst="line">
          <a:avLst/>
        </a:prstGeom>
      </cdr:spPr>
      <cdr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BF1AD-B259-4728-BFE5-4F36A99D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Чернышова</dc:creator>
  <cp:keywords/>
  <dc:description/>
  <cp:lastModifiedBy>bakulina.iv</cp:lastModifiedBy>
  <cp:revision>77</cp:revision>
  <dcterms:created xsi:type="dcterms:W3CDTF">2018-09-27T09:37:00Z</dcterms:created>
  <dcterms:modified xsi:type="dcterms:W3CDTF">2025-12-10T01:53:55Z</dcterms:modified>
</cp:coreProperties>
</file>