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Право на социальную пенсию предоставлено детям, рожденным по истечении 300 дней со дня смерти отца.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реализации прав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на указанную пенсию должны соблюдаться следующие условия: рождение ребенка по истечении трехсот дней со дня смерти лица, которое являлось супругом их матери; данное лицо выразило при жизни намерение иметь детей; отцовство установлено в судебном порядке.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Право на пенсию у таких детей возникает с даты рождения.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Также законом скорректированы размеры социальных пенсий нетрудоспособных граждан.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Так, например: детям, потерявшим одного из родителей, и детям, рожденным по истечении 300 дней со дня смерти отца, размер пенсии установлен в сумме 7 689,83 руб.; инвалидам с детства I группы и детям-инвалидам – 21 177,59 руб.».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2025-12-10T03:57:53Z</dcterms:modified>
</cp:coreProperties>
</file>