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4"/>
        <w:ind w:firstLine="0"/>
        <w:jc w:val="right"/>
        <w:spacing w:line="247" w:lineRule="auto"/>
        <w:rPr>
          <w:rFonts w:ascii="PT Astra Serif" w:hAnsi="PT Astra Serif"/>
          <w:szCs w:val="28"/>
          <w:lang w:val="en-US"/>
        </w:rPr>
      </w:pPr>
      <w:r>
        <w:rPr>
          <w:rFonts w:ascii="PT Astra Serif" w:hAnsi="PT Astra Serif"/>
          <w:szCs w:val="28"/>
        </w:rPr>
        <w:t xml:space="preserve">П</w:t>
      </w:r>
      <w:r>
        <w:rPr>
          <w:rFonts w:ascii="PT Astra Serif" w:hAnsi="PT Astra Serif"/>
          <w:szCs w:val="28"/>
        </w:rPr>
        <w:t xml:space="preserve">риложение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  <w:lang w:val="en-US"/>
        </w:rPr>
      </w:r>
      <w:r>
        <w:rPr>
          <w:rFonts w:ascii="PT Astra Serif" w:hAnsi="PT Astra Serif"/>
          <w:szCs w:val="28"/>
          <w:lang w:val="en-US"/>
        </w:rPr>
      </w:r>
    </w:p>
    <w:p>
      <w:pPr>
        <w:pStyle w:val="648"/>
        <w:jc w:val="center"/>
        <w:spacing w:line="247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ЗАКЛЮЧЕНИЕ 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48"/>
        <w:jc w:val="center"/>
        <w:spacing w:line="247" w:lineRule="auto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об оценке регулирующего воздействия</w:t>
      </w:r>
      <w:r>
        <w:rPr>
          <w:rFonts w:ascii="PT Astra Serif" w:hAnsi="PT Astra Serif" w:cs="Times New Roman"/>
          <w:sz w:val="28"/>
          <w:szCs w:val="28"/>
        </w:rPr>
      </w:r>
    </w:p>
    <w:p>
      <w:pPr>
        <w:pStyle w:val="648"/>
        <w:jc w:val="right"/>
        <w:spacing w:line="247" w:lineRule="auto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sz w:val="28"/>
          <w:szCs w:val="28"/>
          <w:u w:val="single"/>
        </w:rPr>
        <w:t xml:space="preserve">29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.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09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.202</w:t>
      </w:r>
      <w:r>
        <w:rPr>
          <w:rFonts w:ascii="PT Astra Serif" w:hAnsi="PT Astra Serif" w:cs="Times New Roman"/>
          <w:sz w:val="28"/>
          <w:szCs w:val="28"/>
          <w:u w:val="single"/>
        </w:rPr>
        <w:t xml:space="preserve">5</w:t>
      </w:r>
      <w:r>
        <w:rPr>
          <w:rFonts w:ascii="PT Astra Serif" w:hAnsi="PT Astra Serif" w:cs="Times New Roman"/>
          <w:sz w:val="28"/>
          <w:szCs w:val="28"/>
          <w:u w:val="single"/>
        </w:rPr>
      </w:r>
      <w:r>
        <w:rPr>
          <w:rFonts w:ascii="PT Astra Serif" w:hAnsi="PT Astra Serif" w:cs="Times New Roman"/>
          <w:sz w:val="28"/>
          <w:szCs w:val="28"/>
          <w:u w:val="single"/>
        </w:rPr>
      </w:r>
    </w:p>
    <w:p>
      <w:pPr>
        <w:pStyle w:val="648"/>
        <w:jc w:val="right"/>
        <w:spacing w:line="247" w:lineRule="auto"/>
        <w:rPr>
          <w:rFonts w:ascii="PT Astra Serif" w:hAnsi="PT Astra Serif" w:cs="Times New Roman"/>
          <w:color w:val="000000"/>
          <w:sz w:val="28"/>
          <w:szCs w:val="28"/>
          <w:highlight w:val="yellow"/>
        </w:rPr>
      </w:pPr>
      <w:r>
        <w:rPr>
          <w:rFonts w:ascii="PT Astra Serif" w:hAnsi="PT Astra Serif" w:cs="Times New Roman"/>
          <w:color w:val="000000"/>
          <w:sz w:val="28"/>
          <w:szCs w:val="28"/>
          <w:highlight w:val="yellow"/>
        </w:rPr>
      </w:r>
      <w:r>
        <w:rPr>
          <w:rFonts w:ascii="PT Astra Serif" w:hAnsi="PT Astra Serif" w:cs="Times New Roman"/>
          <w:color w:val="000000"/>
          <w:sz w:val="28"/>
          <w:szCs w:val="28"/>
          <w:highlight w:val="yellow"/>
        </w:rPr>
      </w:r>
    </w:p>
    <w:p>
      <w:pPr>
        <w:pStyle w:val="648"/>
        <w:ind w:firstLine="851"/>
        <w:jc w:val="both"/>
        <w:spacing w:line="247" w:lineRule="auto"/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Комитет экономического развития и инвестиционной деятельности администрации города Барнаула в соответствии с Федеральным </w:t>
      </w:r>
      <w:r>
        <w:rPr>
          <w:rFonts w:ascii="PT Astra Serif" w:hAnsi="PT Astra Serif" w:cs="Times New Roman"/>
          <w:color w:val="000000"/>
          <w:sz w:val="28"/>
          <w:szCs w:val="28"/>
        </w:rPr>
        <w:fldChar w:fldCharType="begin"/>
      </w:r>
      <w:r>
        <w:rPr>
          <w:rFonts w:ascii="PT Astra Serif" w:hAnsi="PT Astra Serif" w:cs="Times New Roman"/>
          <w:color w:val="000000"/>
          <w:sz w:val="28"/>
          <w:szCs w:val="28"/>
        </w:rPr>
        <w:instrText xml:space="preserve"> HYPERLINK "consultantplus://off</w:instrText>
      </w:r>
      <w:r>
        <w:rPr>
          <w:rFonts w:ascii="PT Astra Serif" w:hAnsi="PT Astra Serif" w:cs="Times New Roman"/>
          <w:color w:val="000000"/>
          <w:sz w:val="28"/>
          <w:szCs w:val="28"/>
        </w:rPr>
        <w:instrText xml:space="preserve">line/ref=B6BD57CD5728BE3A9D6FEFBA1F6D0616983671E4332D05E367E0C0477696EF78FD4D83E2C8cDn1K" \o "Федеральный закон от 06.10.2003 N 131-ФЗ (ред. от 23.06.2014) \"Об общих принципах организации местного самоуправления в Российской Федерации\"{КонсультантПлюс}" </w:instrText>
      </w:r>
      <w:r>
        <w:rPr>
          <w:rFonts w:ascii="PT Astra Serif" w:hAnsi="PT Astra Serif" w:cs="Times New Roman"/>
          <w:color w:val="000000"/>
          <w:sz w:val="28"/>
          <w:szCs w:val="28"/>
        </w:rPr>
        <w:fldChar w:fldCharType="separate"/>
      </w:r>
      <w:r>
        <w:rPr>
          <w:rStyle w:val="641"/>
          <w:rFonts w:ascii="PT Astra Serif" w:hAnsi="PT Astra Serif" w:eastAsia="Calibri"/>
          <w:color w:val="000000"/>
          <w:sz w:val="28"/>
          <w:szCs w:val="28"/>
          <w:u w:val="none"/>
        </w:rPr>
        <w:t xml:space="preserve">законом</w:t>
      </w:r>
      <w:r>
        <w:rPr>
          <w:rFonts w:ascii="PT Astra Serif" w:hAnsi="PT Astra Serif" w:cs="Times New Roman"/>
          <w:color w:val="000000"/>
          <w:sz w:val="28"/>
          <w:szCs w:val="28"/>
        </w:rPr>
        <w:fldChar w:fldCharType="end"/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 от 06.10.2003 №131-ФЗ «Об общих принципах организации местного самоуправления в Российской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Федерации», законом Алтайского края от 10.11.2014 №90-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 (далее – закон Алтайского края от 10.11.2014 </w:t>
        <w:br/>
        <w:t xml:space="preserve">№90-ЗС), Положением о проведении оценки регулир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ующего воздействия проектов муниципальных нормативных правовых актов города Барнаула и экспертизы муниципальных нормативных правовых актов города Барнаула, утвержденным постановлением администрации города Барнаула от 23.09.2016 №1903 </w:t>
        <w:br/>
        <w:t xml:space="preserve">(далее – Положение),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рассмотрел проект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решения Барнаульской городской Думы «Об утверждении Перечня услуг, которые являются необходимыми и обязательными для предоставления муниципальных услуг на территории города Барнаула»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(далее – проект МНПА),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разработанный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и направленный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для подготовки настоящего заключения отделом цифрового развития в сфере муниципальных услуг 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комитета экономического развития и инвестиционной деятельности администрации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города Барнаула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(далее – разработчик), и сообщает </w:t>
      </w:r>
      <w:r>
        <w:rPr>
          <w:rFonts w:ascii="PT Astra Serif" w:hAnsi="PT Astra Serif" w:cs="Times New Roman"/>
          <w:color w:val="000000"/>
          <w:sz w:val="28"/>
          <w:szCs w:val="28"/>
        </w:rPr>
        <w:t xml:space="preserve">следующее.</w:t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</w:r>
      <w:r>
        <w:rPr>
          <w:rFonts w:ascii="PT Astra Serif" w:hAnsi="PT Astra Serif" w:cs="Times New Roman"/>
          <w:bCs/>
          <w:color w:val="000000"/>
          <w:sz w:val="28"/>
          <w:szCs w:val="28"/>
          <w:shd w:val="clear" w:color="auto" w:fill="ffffff"/>
        </w:rPr>
      </w:r>
    </w:p>
    <w:p>
      <w:pPr>
        <w:pStyle w:val="634"/>
        <w:jc w:val="both"/>
        <w:spacing w:line="247" w:lineRule="auto"/>
        <w:rPr>
          <w:rFonts w:ascii="PT Astra Serif" w:hAnsi="PT Astra Serif" w:eastAsia="Times New Roman"/>
          <w:color w:val="000000"/>
          <w:szCs w:val="28"/>
          <w:lang w:eastAsia="ru-RU"/>
        </w:rPr>
      </w:pP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Проект МНПА и сводный отчет о проведении оценки регулирующего воздействия (далее – сводный отчет) направлены разработчиком для подготовки настоящего заключения впервые.</w:t>
      </w:r>
      <w:r>
        <w:rPr>
          <w:rFonts w:ascii="PT Astra Serif" w:hAnsi="PT Astra Serif" w:eastAsia="Times New Roman"/>
          <w:color w:val="000000"/>
          <w:szCs w:val="28"/>
          <w:lang w:eastAsia="ru-RU"/>
        </w:rPr>
      </w:r>
    </w:p>
    <w:p>
      <w:pPr>
        <w:pStyle w:val="634"/>
        <w:jc w:val="both"/>
        <w:spacing w:line="247" w:lineRule="auto"/>
        <w:rPr>
          <w:rFonts w:ascii="PT Astra Serif" w:hAnsi="PT Astra Serif" w:eastAsia="Times New Roman"/>
          <w:color w:val="000000"/>
          <w:szCs w:val="28"/>
          <w:lang w:eastAsia="ru-RU"/>
        </w:rPr>
      </w:pP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Представленный сводный отчет соответствует требованиям части 2 статьи </w:t>
        <w:br w:type="textWrapping" w:clear="all"/>
        <w:t xml:space="preserve">4 закона Алтайского края от 10.11.2014 №90-ЗС.</w:t>
      </w:r>
      <w:r>
        <w:rPr>
          <w:rFonts w:ascii="PT Astra Serif" w:hAnsi="PT Astra Serif" w:eastAsia="Times New Roman"/>
          <w:color w:val="000000"/>
          <w:szCs w:val="28"/>
          <w:lang w:eastAsia="ru-RU"/>
        </w:rPr>
      </w:r>
    </w:p>
    <w:p>
      <w:pPr>
        <w:pStyle w:val="634"/>
        <w:jc w:val="both"/>
        <w:spacing w:line="247" w:lineRule="auto"/>
        <w:rPr>
          <w:rFonts w:ascii="PT Astra Serif" w:hAnsi="PT Astra Serif" w:eastAsia="Times New Roman"/>
          <w:color w:val="000000"/>
          <w:szCs w:val="28"/>
          <w:lang w:eastAsia="ru-RU"/>
        </w:rPr>
      </w:pP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Форма, предусмотренная приложением 1 к Положению, при подготовке сводного отчета соблюдена. </w:t>
      </w:r>
      <w:r>
        <w:rPr>
          <w:rFonts w:ascii="PT Astra Serif" w:hAnsi="PT Astra Serif" w:eastAsia="Times New Roman"/>
          <w:color w:val="000000"/>
          <w:szCs w:val="28"/>
          <w:lang w:eastAsia="ru-RU"/>
        </w:rPr>
      </w:r>
    </w:p>
    <w:p>
      <w:pPr>
        <w:pStyle w:val="634"/>
        <w:jc w:val="both"/>
        <w:spacing w:line="247" w:lineRule="auto"/>
        <w:rPr>
          <w:rFonts w:ascii="PT Astra Serif" w:hAnsi="PT Astra Serif" w:eastAsia="Times New Roman"/>
          <w:color w:val="000000"/>
          <w:szCs w:val="28"/>
          <w:lang w:eastAsia="ru-RU"/>
        </w:rPr>
      </w:pP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Интернет-сайте города.</w:t>
      </w:r>
      <w:r>
        <w:rPr>
          <w:rFonts w:ascii="PT Astra Serif" w:hAnsi="PT Astra Serif" w:eastAsia="Times New Roman"/>
          <w:color w:val="000000"/>
          <w:szCs w:val="28"/>
          <w:lang w:eastAsia="ru-RU"/>
        </w:rPr>
      </w:r>
    </w:p>
    <w:p>
      <w:pPr>
        <w:pStyle w:val="634"/>
        <w:jc w:val="both"/>
        <w:spacing w:line="247" w:lineRule="auto"/>
        <w:rPr>
          <w:rFonts w:ascii="PT Astra Serif" w:hAnsi="PT Astra Serif" w:eastAsia="Times New Roman"/>
          <w:color w:val="000000"/>
          <w:szCs w:val="28"/>
          <w:lang w:eastAsia="ru-RU"/>
        </w:rPr>
      </w:pP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Публичное обсуждение проекта МНПА и сводного отчета проводилось </w:t>
        <w:br w:type="textWrapping" w:clear="all"/>
        <w:t xml:space="preserve">в период с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 03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.09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.202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5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 по 24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.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0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9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.202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5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.</w:t>
      </w:r>
      <w:r>
        <w:rPr>
          <w:rFonts w:ascii="PT Astra Serif" w:hAnsi="PT Astra Serif" w:eastAsia="Times New Roman"/>
          <w:color w:val="000000"/>
          <w:szCs w:val="28"/>
          <w:lang w:eastAsia="ru-RU"/>
        </w:rPr>
      </w:r>
    </w:p>
    <w:p>
      <w:pPr>
        <w:pStyle w:val="634"/>
        <w:jc w:val="both"/>
        <w:spacing w:line="247" w:lineRule="auto"/>
      </w:pPr>
      <w:r>
        <w:rPr>
          <w:rFonts w:ascii="PT Astra Serif" w:hAnsi="PT Astra Serif"/>
          <w:color w:val="000000"/>
          <w:szCs w:val="28"/>
        </w:rPr>
        <w:t xml:space="preserve">Извещения о начале публичного обсуждения в соответствии с частью </w:t>
      </w:r>
      <w:r>
        <w:rPr>
          <w:rFonts w:ascii="PT Astra Serif" w:hAnsi="PT Astra Serif"/>
          <w:color w:val="000000"/>
          <w:szCs w:val="28"/>
        </w:rPr>
        <w:br/>
        <w:t xml:space="preserve">3 </w:t>
      </w:r>
      <w:r>
        <w:rPr>
          <w:rFonts w:ascii="PT Astra Serif" w:hAnsi="PT Astra Serif"/>
          <w:color w:val="000000"/>
          <w:szCs w:val="28"/>
        </w:rPr>
        <w:t xml:space="preserve">статьи 5 закона Алтайского края от 10.11.2014 №90-ЗС были направлены в:</w:t>
      </w:r>
      <w:r>
        <w:rPr>
          <w:rFonts w:ascii="PT Astra Serif" w:hAnsi="PT Astra Serif"/>
          <w:color w:val="000000"/>
          <w:szCs w:val="28"/>
        </w:rPr>
        <w:t xml:space="preserve"> </w:t>
        <w:br/>
      </w:r>
      <w:r>
        <w:rPr>
          <w:rFonts w:ascii="PT Astra Serif" w:hAnsi="PT Astra Serif"/>
          <w:color w:val="000000"/>
          <w:szCs w:val="28"/>
        </w:rPr>
        <w:t xml:space="preserve">администрации районов города Барнаула, </w:t>
      </w:r>
      <w:r>
        <w:rPr>
          <w:rFonts w:ascii="PT Astra Serif" w:hAnsi="PT Astra Serif"/>
          <w:color w:val="000000"/>
          <w:szCs w:val="28"/>
        </w:rPr>
        <w:t xml:space="preserve">комитет жилищно-коммунального хозяйства города Барнаула, </w:t>
      </w:r>
      <w:r>
        <w:rPr>
          <w:rFonts w:ascii="PT Astra Serif" w:hAnsi="PT Astra Serif"/>
          <w:color w:val="000000"/>
          <w:szCs w:val="28"/>
        </w:rPr>
        <w:t xml:space="preserve">комитет по земельным ресурсам и землеустройству города Барнаула, </w:t>
      </w:r>
      <w:r>
        <w:rPr>
          <w:rFonts w:ascii="PT Astra Serif" w:hAnsi="PT Astra Serif"/>
          <w:color w:val="000000"/>
          <w:szCs w:val="28"/>
        </w:rPr>
        <w:t xml:space="preserve">комитет по образованию города Барнаула, </w:t>
      </w:r>
      <w:r>
        <w:rPr>
          <w:rFonts w:ascii="PT Astra Serif" w:hAnsi="PT Astra Serif"/>
          <w:color w:val="000000"/>
          <w:szCs w:val="28"/>
        </w:rPr>
        <w:t xml:space="preserve">комитет по благоустройству города Барнаула, </w:t>
      </w:r>
      <w:r>
        <w:rPr>
          <w:rFonts w:ascii="PT Astra Serif" w:hAnsi="PT Astra Serif"/>
          <w:color w:val="000000"/>
          <w:szCs w:val="28"/>
        </w:rPr>
        <w:t xml:space="preserve">комитет по дорожному хозяйству и транспорту города Барнаула, </w:t>
      </w:r>
      <w:r>
        <w:rPr>
          <w:rFonts w:ascii="PT Astra Serif" w:hAnsi="PT Astra Serif"/>
          <w:color w:val="000000"/>
          <w:szCs w:val="28"/>
        </w:rPr>
        <w:t xml:space="preserve">комитет по строительству, архитектуре и развитию города Барнаула.</w:t>
      </w:r>
      <w:r>
        <w:rPr>
          <w:rFonts w:ascii="PT Astra Serif" w:hAnsi="PT Astra Serif"/>
          <w:szCs w:val="28"/>
        </w:rPr>
      </w:r>
      <w:r/>
      <w:r>
        <w:rPr>
          <w:rFonts w:ascii="PT Astra Serif" w:hAnsi="PT Astra Serif"/>
          <w:color w:val="000000"/>
          <w:szCs w:val="28"/>
        </w:rPr>
      </w:r>
    </w:p>
    <w:p>
      <w:pPr>
        <w:pStyle w:val="634"/>
        <w:ind w:firstLine="72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течение срока, предусмотренного для публичного обсуждения, в адрес разработчика предложения не поступали.</w:t>
      </w:r>
      <w:r>
        <w:rPr>
          <w:rFonts w:ascii="PT Astra Serif" w:hAnsi="PT Astra Serif"/>
          <w:szCs w:val="28"/>
        </w:rPr>
      </w:r>
    </w:p>
    <w:p>
      <w:pPr>
        <w:pStyle w:val="634"/>
        <w:ind w:firstLine="72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результатам проведения публичного обсуждения разработчиком было принято решение о доработке сводного отчета и направлении ответственному </w:t>
      </w:r>
      <w:r>
        <w:rPr>
          <w:rFonts w:ascii="PT Astra Serif" w:hAnsi="PT Astra Serif"/>
          <w:szCs w:val="28"/>
        </w:rPr>
        <w:br w:type="textWrapping" w:clear="all"/>
      </w:r>
      <w:r>
        <w:rPr>
          <w:rFonts w:ascii="PT Astra Serif" w:hAnsi="PT Astra Serif"/>
          <w:szCs w:val="28"/>
        </w:rPr>
        <w:t xml:space="preserve">за подготовку заключения проекта МНПА и доработанного сводного отчета.</w:t>
      </w:r>
      <w:r>
        <w:rPr>
          <w:rFonts w:ascii="PT Astra Serif" w:hAnsi="PT Astra Serif"/>
          <w:szCs w:val="28"/>
        </w:rPr>
      </w:r>
    </w:p>
    <w:p>
      <w:pPr>
        <w:pStyle w:val="634"/>
        <w:ind w:firstLine="72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В доработанный по результатам публичного обсуждения сводный отчет разработчиком включены сведения о проведении публичного обсуждения, сроках его проведения.</w:t>
      </w:r>
      <w:r>
        <w:rPr>
          <w:rFonts w:ascii="PT Astra Serif" w:hAnsi="PT Astra Serif"/>
          <w:szCs w:val="28"/>
        </w:rPr>
      </w:r>
    </w:p>
    <w:p>
      <w:pPr>
        <w:pStyle w:val="634"/>
        <w:ind w:firstLine="72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Доработанный по результатам публичного обсуждения сводный отчет разработчиком размещен на официальном Интернет-сайте города Барнаула.</w:t>
      </w:r>
      <w:r>
        <w:rPr>
          <w:rFonts w:ascii="PT Astra Serif" w:hAnsi="PT Astra Serif"/>
          <w:szCs w:val="28"/>
        </w:rPr>
      </w:r>
    </w:p>
    <w:p>
      <w:pPr>
        <w:pStyle w:val="634"/>
        <w:ind w:firstLine="72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По результатам рассмотрения впервые поступившего для подготовки заключения проекта МНПА и сводного отчета установлено, что при подготовке проекта МНПА разработчиком соблюден порядок проведения оценки регулирующего воздействия.</w:t>
      </w:r>
      <w:r>
        <w:rPr>
          <w:rFonts w:ascii="PT Astra Serif" w:hAnsi="PT Astra Serif"/>
          <w:szCs w:val="28"/>
        </w:rPr>
      </w:r>
    </w:p>
    <w:p>
      <w:pPr>
        <w:pStyle w:val="634"/>
        <w:ind w:firstLine="720"/>
        <w:jc w:val="both"/>
        <w:spacing w:line="247" w:lineRule="auto"/>
        <w:rPr>
          <w:rFonts w:ascii="PT Astra Serif" w:hAnsi="PT Astra Serif" w:eastAsia="Times New Roman"/>
          <w:color w:val="000000"/>
          <w:szCs w:val="28"/>
          <w:lang w:eastAsia="ru-RU"/>
        </w:rPr>
      </w:pPr>
      <w:r>
        <w:rPr>
          <w:rFonts w:ascii="PT Astra Serif" w:hAnsi="PT Astra Serif"/>
          <w:szCs w:val="28"/>
        </w:rPr>
        <w:t xml:space="preserve">На основе проведения оценки регулирующего воздействия проекта МНПА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br w:type="textWrapping" w:clear="all"/>
      </w:r>
      <w:r>
        <w:rPr>
          <w:rFonts w:ascii="PT Astra Serif" w:hAnsi="PT Astra Serif"/>
          <w:szCs w:val="28"/>
        </w:rPr>
        <w:t xml:space="preserve">с учетом информации, представленной</w:t>
      </w:r>
      <w:r>
        <w:rPr>
          <w:rFonts w:ascii="PT Astra Serif" w:hAnsi="PT Astra Serif"/>
          <w:szCs w:val="28"/>
        </w:rPr>
        <w:t xml:space="preserve"> разработчиком в сводном отчете, комитетом экономического развития и инвестиционной деятельности администрации города Барнаула сделан следующий вывод: представленный проект МНПА не содержит положений, вводящих избыточные обязанности, запреты и ограничения </w:t>
      </w:r>
      <w:r>
        <w:rPr>
          <w:rFonts w:ascii="PT Astra Serif" w:hAnsi="PT Astra Serif"/>
          <w:szCs w:val="28"/>
        </w:rPr>
        <w:br w:type="textWrapping" w:clear="all"/>
      </w:r>
      <w:r>
        <w:rPr>
          <w:rFonts w:ascii="PT Astra Serif" w:hAnsi="PT Astra Serif"/>
          <w:szCs w:val="28"/>
        </w:rPr>
        <w:t xml:space="preserve">для субъектов предпринимательской и иной экономической деятельности, </w:t>
      </w:r>
      <w:r>
        <w:rPr>
          <w:rFonts w:ascii="PT Astra Serif" w:hAnsi="PT Astra Serif"/>
          <w:szCs w:val="28"/>
        </w:rPr>
        <w:br w:type="textWrapping" w:clear="all"/>
      </w:r>
      <w:r>
        <w:rPr>
          <w:rFonts w:ascii="PT Astra Serif" w:hAnsi="PT Astra Serif"/>
          <w:szCs w:val="28"/>
        </w:rPr>
        <w:t xml:space="preserve">или способствующих их введению, а также положений, приводящих </w:t>
      </w:r>
      <w:r>
        <w:rPr>
          <w:rFonts w:ascii="PT Astra Serif" w:hAnsi="PT Astra Serif"/>
          <w:szCs w:val="28"/>
        </w:rPr>
        <w:br w:type="textWrapping" w:clear="all"/>
      </w:r>
      <w:r>
        <w:rPr>
          <w:rFonts w:ascii="PT Astra Serif" w:hAnsi="PT Astra Serif"/>
          <w:szCs w:val="28"/>
        </w:rPr>
        <w:t xml:space="preserve">к возникновению необоснованных расходов субъектов предпринимательской и иной экономической деятельности и бюджета города Барнаула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.</w:t>
      </w:r>
      <w:r>
        <w:rPr>
          <w:rFonts w:ascii="PT Astra Serif" w:hAnsi="PT Astra Serif" w:eastAsia="Times New Roman"/>
          <w:color w:val="000000"/>
          <w:szCs w:val="28"/>
          <w:lang w:eastAsia="ru-RU"/>
        </w:rPr>
        <w:t xml:space="preserve"> </w:t>
      </w:r>
      <w:r>
        <w:rPr>
          <w:rFonts w:ascii="PT Astra Serif" w:hAnsi="PT Astra Serif" w:eastAsia="Times New Roman"/>
          <w:color w:val="000000"/>
          <w:szCs w:val="28"/>
          <w:lang w:eastAsia="ru-RU"/>
        </w:rPr>
      </w:r>
    </w:p>
    <w:p>
      <w:pPr>
        <w:pStyle w:val="634"/>
        <w:ind w:firstLine="0"/>
        <w:jc w:val="both"/>
        <w:spacing w:line="247" w:lineRule="auto"/>
        <w:rPr>
          <w:rFonts w:ascii="PT Astra Serif" w:hAnsi="PT Astra Serif"/>
          <w:szCs w:val="28"/>
          <w:lang w:eastAsia="ru-RU"/>
        </w:rPr>
      </w:pPr>
      <w:r>
        <w:rPr>
          <w:rFonts w:ascii="PT Astra Serif" w:hAnsi="PT Astra Serif"/>
          <w:szCs w:val="28"/>
          <w:lang w:eastAsia="ru-RU"/>
        </w:rPr>
      </w:r>
      <w:r>
        <w:rPr>
          <w:rFonts w:ascii="PT Astra Serif" w:hAnsi="PT Astra Serif"/>
          <w:szCs w:val="28"/>
          <w:lang w:eastAsia="ru-RU"/>
        </w:rPr>
      </w:r>
    </w:p>
    <w:p>
      <w:pPr>
        <w:pStyle w:val="634"/>
        <w:ind w:firstLine="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634"/>
        <w:ind w:firstLine="0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Заместитель председателя – начальник отдела </w:t>
        <w:br w:type="textWrapping" w:clear="all"/>
        <w:t xml:space="preserve">ценообразования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комитета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экономического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634"/>
        <w:ind w:firstLine="0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развития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инвестиционной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деятельности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634"/>
        <w:ind w:firstLine="0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 xml:space="preserve">администрации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города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Барнаула</w:t>
      </w:r>
      <w:r>
        <w:rPr>
          <w:rFonts w:ascii="PT Astra Serif" w:hAnsi="PT Astra Serif"/>
          <w:szCs w:val="28"/>
        </w:rPr>
        <w:t xml:space="preserve">                                           </w:t>
      </w:r>
      <w:r>
        <w:rPr>
          <w:rFonts w:ascii="PT Astra Serif" w:hAnsi="PT Astra Serif"/>
          <w:szCs w:val="28"/>
        </w:rPr>
        <w:t xml:space="preserve">               </w:t>
      </w:r>
      <w:r>
        <w:rPr>
          <w:rFonts w:ascii="PT Astra Serif" w:hAnsi="PT Astra Serif"/>
          <w:szCs w:val="28"/>
        </w:rPr>
        <w:t xml:space="preserve">         Н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  <w:t xml:space="preserve">Е</w:t>
      </w:r>
      <w:r>
        <w:rPr>
          <w:rFonts w:ascii="PT Astra Serif" w:hAnsi="PT Astra Serif"/>
          <w:szCs w:val="28"/>
        </w:rPr>
        <w:t xml:space="preserve">.</w:t>
      </w:r>
      <w:r>
        <w:rPr>
          <w:rFonts w:ascii="PT Astra Serif" w:hAnsi="PT Astra Serif"/>
          <w:szCs w:val="28"/>
        </w:rPr>
        <w:t xml:space="preserve"> </w:t>
      </w:r>
      <w:r>
        <w:rPr>
          <w:rFonts w:ascii="PT Astra Serif" w:hAnsi="PT Astra Serif"/>
          <w:szCs w:val="28"/>
        </w:rPr>
        <w:t xml:space="preserve">Юркина</w:t>
      </w: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p>
      <w:pPr>
        <w:pStyle w:val="634"/>
        <w:ind w:firstLine="0"/>
        <w:jc w:val="both"/>
        <w:spacing w:line="247" w:lineRule="auto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</w:r>
      <w:r>
        <w:rPr>
          <w:rFonts w:ascii="PT Astra Serif" w:hAnsi="PT Astra Serif"/>
          <w:szCs w:val="28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418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Courier New">
    <w:panose1 w:val="020704090202050204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2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65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4"/>
    <w:next w:val="63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4"/>
    <w:next w:val="63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4"/>
    <w:next w:val="63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4"/>
    <w:next w:val="63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4"/>
    <w:next w:val="63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4"/>
    <w:next w:val="63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4"/>
    <w:next w:val="63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4"/>
    <w:next w:val="63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4"/>
    <w:next w:val="63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4"/>
    <w:next w:val="63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4"/>
    <w:next w:val="63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4"/>
    <w:next w:val="63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4"/>
    <w:next w:val="63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4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4"/>
    <w:next w:val="634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4"/>
    <w:next w:val="63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4"/>
    <w:next w:val="63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4"/>
    <w:next w:val="63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4"/>
    <w:next w:val="63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4"/>
    <w:next w:val="63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4"/>
    <w:next w:val="63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4"/>
    <w:next w:val="63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4"/>
    <w:next w:val="63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4"/>
    <w:next w:val="63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4"/>
    <w:next w:val="634"/>
    <w:uiPriority w:val="99"/>
    <w:unhideWhenUsed/>
    <w:pPr>
      <w:spacing w:after="0" w:afterAutospacing="0"/>
    </w:pPr>
  </w:style>
  <w:style w:type="paragraph" w:styleId="634" w:default="1">
    <w:name w:val="Normal"/>
    <w:next w:val="634"/>
    <w:link w:val="634"/>
    <w:qFormat/>
    <w:pPr>
      <w:ind w:firstLine="709"/>
    </w:pPr>
    <w:rPr>
      <w:sz w:val="28"/>
      <w:szCs w:val="24"/>
      <w:lang w:val="ru-RU" w:eastAsia="en-US" w:bidi="ar-SA"/>
    </w:rPr>
  </w:style>
  <w:style w:type="paragraph" w:styleId="635">
    <w:name w:val="Заголовок 1"/>
    <w:basedOn w:val="634"/>
    <w:next w:val="635"/>
    <w:link w:val="647"/>
    <w:uiPriority w:val="9"/>
    <w:qFormat/>
    <w:pPr>
      <w:ind w:firstLine="0"/>
      <w:spacing w:before="100" w:beforeAutospacing="1" w:after="100" w:afterAutospacing="1"/>
      <w:outlineLvl w:val="0"/>
    </w:pPr>
    <w:rPr>
      <w:rFonts w:eastAsia="Times New Roman"/>
      <w:b/>
      <w:bCs/>
      <w:sz w:val="48"/>
      <w:szCs w:val="48"/>
      <w:lang w:val="en-US" w:eastAsia="en-US"/>
    </w:rPr>
  </w:style>
  <w:style w:type="character" w:styleId="636">
    <w:name w:val="Основной шрифт абзаца"/>
    <w:next w:val="636"/>
    <w:link w:val="634"/>
    <w:uiPriority w:val="1"/>
    <w:unhideWhenUsed/>
  </w:style>
  <w:style w:type="table" w:styleId="637">
    <w:name w:val="Обычная таблица"/>
    <w:next w:val="637"/>
    <w:link w:val="634"/>
    <w:uiPriority w:val="99"/>
    <w:semiHidden/>
    <w:unhideWhenUsed/>
    <w:qFormat/>
    <w:tblPr/>
  </w:style>
  <w:style w:type="numbering" w:styleId="638">
    <w:name w:val="Нет списка"/>
    <w:next w:val="638"/>
    <w:link w:val="634"/>
    <w:uiPriority w:val="99"/>
    <w:semiHidden/>
    <w:unhideWhenUsed/>
  </w:style>
  <w:style w:type="paragraph" w:styleId="639">
    <w:name w:val="Текст выноски"/>
    <w:basedOn w:val="634"/>
    <w:next w:val="639"/>
    <w:link w:val="640"/>
    <w:uiPriority w:val="99"/>
    <w:semiHidden/>
    <w:unhideWhenUsed/>
    <w:rPr>
      <w:rFonts w:ascii="Tahoma" w:hAnsi="Tahoma"/>
      <w:sz w:val="16"/>
      <w:szCs w:val="16"/>
      <w:lang w:val="en-US" w:eastAsia="en-US"/>
    </w:rPr>
  </w:style>
  <w:style w:type="character" w:styleId="640">
    <w:name w:val="Текст выноски Знак"/>
    <w:next w:val="640"/>
    <w:link w:val="639"/>
    <w:uiPriority w:val="99"/>
    <w:semiHidden/>
    <w:rPr>
      <w:rFonts w:ascii="Tahoma" w:hAnsi="Tahoma" w:eastAsia="Calibri" w:cs="Times New Roman"/>
      <w:sz w:val="16"/>
      <w:szCs w:val="16"/>
      <w:lang w:val="en-US"/>
    </w:rPr>
  </w:style>
  <w:style w:type="character" w:styleId="641">
    <w:name w:val="Гиперссылка"/>
    <w:next w:val="641"/>
    <w:link w:val="634"/>
    <w:uiPriority w:val="99"/>
    <w:semiHidden/>
    <w:rPr>
      <w:color w:val="0000ff"/>
      <w:u w:val="single"/>
    </w:rPr>
  </w:style>
  <w:style w:type="paragraph" w:styleId="642">
    <w:name w:val="Стиль4"/>
    <w:basedOn w:val="634"/>
    <w:next w:val="642"/>
    <w:link w:val="634"/>
    <w:pPr>
      <w:ind w:firstLine="851"/>
      <w:jc w:val="both"/>
    </w:pPr>
    <w:rPr>
      <w:rFonts w:ascii="Courier New" w:hAnsi="Courier New" w:eastAsia="Times New Roman"/>
      <w:szCs w:val="20"/>
      <w:lang w:eastAsia="ru-RU"/>
    </w:rPr>
  </w:style>
  <w:style w:type="paragraph" w:styleId="643">
    <w:name w:val="Основной текст с отступом 2"/>
    <w:basedOn w:val="634"/>
    <w:next w:val="643"/>
    <w:link w:val="644"/>
    <w:semiHidden/>
    <w:pPr>
      <w:ind w:firstLine="720"/>
      <w:jc w:val="both"/>
    </w:pPr>
    <w:rPr>
      <w:rFonts w:eastAsia="Times New Roman"/>
      <w:lang w:val="en-US" w:eastAsia="en-US"/>
    </w:rPr>
  </w:style>
  <w:style w:type="character" w:styleId="644">
    <w:name w:val="Основной текст с отступом 2 Знак"/>
    <w:next w:val="644"/>
    <w:link w:val="643"/>
    <w:semiHidden/>
    <w:rPr>
      <w:rFonts w:eastAsia="Times New Roman"/>
      <w:sz w:val="28"/>
      <w:szCs w:val="24"/>
      <w:lang w:val="en-US" w:eastAsia="en-US"/>
    </w:rPr>
  </w:style>
  <w:style w:type="paragraph" w:styleId="645">
    <w:name w:val="Абзац списка"/>
    <w:basedOn w:val="634"/>
    <w:next w:val="645"/>
    <w:link w:val="634"/>
    <w:uiPriority w:val="34"/>
    <w:qFormat/>
    <w:pPr>
      <w:contextualSpacing/>
      <w:ind w:left="720" w:firstLine="0"/>
    </w:pPr>
    <w:rPr>
      <w:rFonts w:ascii="Calibri" w:hAnsi="Calibri"/>
      <w:sz w:val="22"/>
      <w:szCs w:val="22"/>
    </w:rPr>
  </w:style>
  <w:style w:type="character" w:styleId="646">
    <w:name w:val="apple-converted-space"/>
    <w:next w:val="646"/>
    <w:link w:val="634"/>
  </w:style>
  <w:style w:type="character" w:styleId="647">
    <w:name w:val="Заголовок 1 Знак"/>
    <w:next w:val="647"/>
    <w:link w:val="635"/>
    <w:uiPriority w:val="9"/>
    <w:rPr>
      <w:rFonts w:eastAsia="Times New Roman"/>
      <w:b/>
      <w:bCs/>
      <w:sz w:val="48"/>
      <w:szCs w:val="48"/>
    </w:rPr>
  </w:style>
  <w:style w:type="paragraph" w:styleId="648">
    <w:name w:val="ConsPlusNonformat"/>
    <w:next w:val="648"/>
    <w:link w:val="634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649">
    <w:name w:val="Заголовок статьи"/>
    <w:basedOn w:val="634"/>
    <w:next w:val="634"/>
    <w:link w:val="634"/>
    <w:uiPriority w:val="99"/>
    <w:pPr>
      <w:ind w:left="1612" w:hanging="892"/>
      <w:jc w:val="both"/>
    </w:pPr>
    <w:rPr>
      <w:rFonts w:ascii="Arial" w:hAnsi="Arial" w:cs="Arial"/>
      <w:sz w:val="24"/>
      <w:lang w:eastAsia="ru-RU"/>
    </w:rPr>
  </w:style>
  <w:style w:type="paragraph" w:styleId="650">
    <w:name w:val="Обычный (веб)"/>
    <w:basedOn w:val="634"/>
    <w:next w:val="650"/>
    <w:link w:val="634"/>
    <w:uiPriority w:val="99"/>
    <w:unhideWhenUsed/>
    <w:pPr>
      <w:ind w:firstLine="0"/>
      <w:spacing w:before="100" w:beforeAutospacing="1" w:after="100" w:afterAutospacing="1"/>
    </w:pPr>
    <w:rPr>
      <w:rFonts w:eastAsia="Times New Roman"/>
      <w:sz w:val="24"/>
      <w:lang w:eastAsia="ru-RU"/>
    </w:rPr>
  </w:style>
  <w:style w:type="paragraph" w:styleId="651">
    <w:name w:val="Рецензия"/>
    <w:next w:val="651"/>
    <w:link w:val="634"/>
    <w:hidden/>
    <w:uiPriority w:val="99"/>
    <w:semiHidden/>
    <w:rPr>
      <w:sz w:val="28"/>
      <w:szCs w:val="24"/>
      <w:lang w:val="ru-RU" w:eastAsia="en-US" w:bidi="ar-SA"/>
    </w:rPr>
  </w:style>
  <w:style w:type="paragraph" w:styleId="652">
    <w:name w:val="Верхний колонтитул"/>
    <w:basedOn w:val="634"/>
    <w:next w:val="652"/>
    <w:link w:val="653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53">
    <w:name w:val="Верхний колонтитул Знак"/>
    <w:next w:val="653"/>
    <w:link w:val="652"/>
    <w:uiPriority w:val="99"/>
    <w:rPr>
      <w:sz w:val="28"/>
      <w:szCs w:val="24"/>
      <w:lang w:eastAsia="en-US"/>
    </w:rPr>
  </w:style>
  <w:style w:type="paragraph" w:styleId="654">
    <w:name w:val="Нижний колонтитул"/>
    <w:basedOn w:val="634"/>
    <w:next w:val="654"/>
    <w:link w:val="655"/>
    <w:uiPriority w:val="99"/>
    <w:unhideWhenUsed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655">
    <w:name w:val="Нижний колонтитул Знак"/>
    <w:next w:val="655"/>
    <w:link w:val="654"/>
    <w:uiPriority w:val="99"/>
    <w:rPr>
      <w:sz w:val="28"/>
      <w:szCs w:val="24"/>
      <w:lang w:eastAsia="en-US"/>
    </w:rPr>
  </w:style>
  <w:style w:type="paragraph" w:styleId="656">
    <w:name w:val="Основное меню (преемственное)"/>
    <w:basedOn w:val="634"/>
    <w:next w:val="634"/>
    <w:link w:val="634"/>
    <w:uiPriority w:val="99"/>
    <w:pPr>
      <w:ind w:firstLine="720"/>
      <w:jc w:val="both"/>
      <w:widowControl w:val="off"/>
    </w:pPr>
    <w:rPr>
      <w:rFonts w:ascii="Verdana" w:hAnsi="Verdana" w:eastAsia="Times New Roman" w:cs="Verdana"/>
      <w:sz w:val="22"/>
      <w:szCs w:val="22"/>
      <w:lang w:eastAsia="ru-RU"/>
    </w:rPr>
  </w:style>
  <w:style w:type="character" w:styleId="849" w:default="1">
    <w:name w:val="Default Paragraph Font"/>
    <w:uiPriority w:val="1"/>
    <w:semiHidden/>
    <w:unhideWhenUsed/>
  </w:style>
  <w:style w:type="numbering" w:styleId="850" w:default="1">
    <w:name w:val="No List"/>
    <w:uiPriority w:val="99"/>
    <w:semiHidden/>
    <w:unhideWhenUsed/>
  </w:style>
  <w:style w:type="table" w:styleId="85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admn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beyfus.ky</dc:creator>
  <cp:lastModifiedBy>aksenov.yi</cp:lastModifiedBy>
  <cp:revision>30</cp:revision>
  <dcterms:created xsi:type="dcterms:W3CDTF">2024-09-05T02:45:00Z</dcterms:created>
  <dcterms:modified xsi:type="dcterms:W3CDTF">2025-09-29T08:20:39Z</dcterms:modified>
  <cp:version>983040</cp:version>
</cp:coreProperties>
</file>