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по работе с устными и письменными обращениями, поступившими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от граждан по вопросам потребительского рынка, труда и развития предпринимательства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квартал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комитете по развитию предпринимател</w:t>
      </w:r>
      <w:r>
        <w:rPr>
          <w:rFonts w:ascii="Times New Roman" w:hAnsi="Times New Roman" w:cs="Times New Roman"/>
          <w:sz w:val="28"/>
          <w:szCs w:val="28"/>
        </w:rPr>
        <w:t xml:space="preserve">ьства, потребительскому рынку и </w:t>
      </w:r>
      <w:r>
        <w:rPr>
          <w:rFonts w:ascii="Times New Roman" w:hAnsi="Times New Roman" w:cs="Times New Roman"/>
          <w:sz w:val="28"/>
          <w:szCs w:val="28"/>
        </w:rPr>
        <w:t xml:space="preserve">вопросам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подведены итоги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работе с устными и письменными обращениями граждан. Всего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городской комитет поступило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120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 xml:space="preserve">й, по сравнению </w:t>
      </w:r>
      <w:r>
        <w:rPr>
          <w:rFonts w:ascii="Times New Roman" w:hAnsi="Times New Roman" w:cs="Times New Roman"/>
          <w:sz w:val="28"/>
          <w:szCs w:val="28"/>
        </w:rPr>
        <w:t xml:space="preserve">с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годом обращения у</w:t>
      </w:r>
      <w:r>
        <w:rPr>
          <w:rFonts w:ascii="Times New Roman" w:hAnsi="Times New Roman" w:cs="Times New Roman"/>
          <w:sz w:val="28"/>
          <w:szCs w:val="28"/>
        </w:rPr>
        <w:t xml:space="preserve">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1,7</w:t>
      </w:r>
      <w:r>
        <w:rPr>
          <w:rFonts w:ascii="Times New Roman" w:hAnsi="Times New Roman" w:cs="Times New Roman"/>
          <w:sz w:val="28"/>
          <w:szCs w:val="28"/>
        </w:rPr>
        <w:t xml:space="preserve">% (показано на диаграмме). </w:t>
      </w:r>
    </w:p>
    <w:p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66675</wp:posOffset>
            </wp:positionV>
            <wp:extent cx="5076825" cy="330517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Все обращения рассмотрены, 28</w:t>
      </w:r>
      <w:r>
        <w:rPr>
          <w:rFonts w:ascii="Times New Roman" w:hAnsi="Times New Roman" w:cs="Times New Roman"/>
          <w:sz w:val="28"/>
          <w:szCs w:val="28"/>
        </w:rPr>
        <w:t xml:space="preserve"> из них с выездом на место, </w:t>
      </w:r>
      <w:r>
        <w:rPr>
          <w:rFonts w:ascii="Times New Roman" w:hAnsi="Times New Roman" w:cs="Times New Roman"/>
          <w:sz w:val="28"/>
          <w:szCs w:val="28"/>
        </w:rPr>
        <w:br/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81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дано разъяснение,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 обращений был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на рассмотрение по компетенции в надзорные органы. </w:t>
      </w: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Анализ тематической структуры обращений граждан показывает, что основными темами обращений являются: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– вопросы труда (невыплата з/платы, выходного пособия, помочь трудоустроиться и др.) по сравн</w:t>
      </w:r>
      <w:r>
        <w:rPr>
          <w:rFonts w:ascii="Times New Roman" w:hAnsi="Times New Roman" w:cs="Times New Roman"/>
          <w:sz w:val="28"/>
          <w:szCs w:val="28"/>
        </w:rPr>
        <w:t xml:space="preserve">ению с аналогичным периодом 20</w:t>
      </w:r>
      <w:r>
        <w:rPr>
          <w:rFonts w:ascii="Times New Roman" w:hAnsi="Times New Roman" w:cs="Times New Roman"/>
          <w:sz w:val="28"/>
          <w:szCs w:val="28"/>
        </w:rPr>
        <w:t xml:space="preserve">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остались без изменений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вопросы</w:t>
      </w:r>
      <w:r>
        <w:rPr>
          <w:rFonts w:ascii="Times New Roman" w:hAnsi="Times New Roman"/>
          <w:sz w:val="28"/>
          <w:szCs w:val="28"/>
        </w:rPr>
        <w:t xml:space="preserve"> ограничения</w:t>
      </w:r>
      <w:r>
        <w:rPr>
          <w:rFonts w:ascii="Times New Roman" w:hAnsi="Times New Roman"/>
          <w:sz w:val="28"/>
          <w:szCs w:val="28"/>
        </w:rPr>
        <w:t xml:space="preserve"> режима работы предприятий торговли</w:t>
      </w:r>
      <w:r>
        <w:rPr>
          <w:rFonts w:ascii="Times New Roman" w:hAnsi="Times New Roman"/>
          <w:sz w:val="28"/>
          <w:szCs w:val="28"/>
        </w:rPr>
        <w:t xml:space="preserve"> связанные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нарушением общественного порядка</w:t>
      </w:r>
      <w:r>
        <w:rPr>
          <w:rFonts w:ascii="Times New Roman" w:hAnsi="Times New Roman"/>
          <w:sz w:val="28"/>
          <w:szCs w:val="28"/>
        </w:rPr>
        <w:t xml:space="preserve"> (распитие алкогольной продукции во дворах, шум от работающих машин, звучание громкой музыки и др.). В сравнении </w:t>
      </w:r>
      <w:r>
        <w:rPr>
          <w:rFonts w:ascii="Times New Roman" w:hAnsi="Times New Roman"/>
          <w:sz w:val="28"/>
          <w:szCs w:val="28"/>
        </w:rPr>
        <w:br/>
        <w:t xml:space="preserve">с 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годом коли</w:t>
      </w:r>
      <w:r>
        <w:rPr>
          <w:rFonts w:ascii="Times New Roman" w:hAnsi="Times New Roman"/>
          <w:sz w:val="28"/>
          <w:szCs w:val="28"/>
        </w:rPr>
        <w:t xml:space="preserve">чество обращений увеличилось в 1,9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раза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– вопросы, относящиес</w:t>
      </w:r>
      <w:r>
        <w:rPr>
          <w:rFonts w:ascii="Times New Roman" w:hAnsi="Times New Roman"/>
          <w:sz w:val="28"/>
          <w:szCs w:val="28"/>
        </w:rPr>
        <w:t xml:space="preserve">я к несанкционированной торговле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по сравнению </w:t>
      </w:r>
      <w:r>
        <w:rPr>
          <w:rFonts w:ascii="Times New Roman" w:hAnsi="Times New Roman"/>
          <w:sz w:val="28"/>
          <w:szCs w:val="28"/>
        </w:rPr>
        <w:t xml:space="preserve">с 202</w:t>
      </w:r>
      <w:r>
        <w:rPr>
          <w:rFonts w:ascii="Times New Roman" w:hAnsi="Times New Roman"/>
          <w:sz w:val="28"/>
          <w:szCs w:val="28"/>
        </w:rPr>
        <w:t xml:space="preserve">4 годом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величились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22,22</w:t>
      </w:r>
      <w:r>
        <w:rPr>
          <w:rFonts w:ascii="Times New Roman" w:hAnsi="Times New Roman"/>
          <w:sz w:val="28"/>
          <w:szCs w:val="28"/>
        </w:rPr>
        <w:t xml:space="preserve">%;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– в</w:t>
      </w:r>
      <w:r>
        <w:rPr>
          <w:rFonts w:ascii="Times New Roman" w:hAnsi="Times New Roman"/>
          <w:sz w:val="28"/>
          <w:szCs w:val="28"/>
        </w:rPr>
        <w:t xml:space="preserve">опросы взаимоотношений садоводческих товариществ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администрацией города, взаимодействия с сельскохозяйственными предприятиями, ЛПХ, оптовыми предприятиями торговали</w:t>
      </w:r>
      <w:r>
        <w:rPr>
          <w:rFonts w:ascii="Times New Roman" w:hAnsi="Times New Roman"/>
          <w:sz w:val="28"/>
          <w:szCs w:val="28"/>
        </w:rPr>
        <w:t xml:space="preserve">, по сравнению </w:t>
      </w:r>
      <w:r>
        <w:rPr>
          <w:rFonts w:ascii="Times New Roman" w:hAnsi="Times New Roman"/>
          <w:sz w:val="28"/>
          <w:szCs w:val="28"/>
        </w:rPr>
        <w:br/>
        <w:t xml:space="preserve">с 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годом </w:t>
      </w:r>
      <w:r>
        <w:rPr>
          <w:rFonts w:ascii="Times New Roman" w:hAnsi="Times New Roman"/>
          <w:sz w:val="28"/>
          <w:szCs w:val="28"/>
        </w:rPr>
        <w:t xml:space="preserve">уменьшились</w:t>
      </w:r>
      <w:r>
        <w:rPr>
          <w:rFonts w:ascii="Times New Roman" w:hAnsi="Times New Roman"/>
          <w:sz w:val="28"/>
          <w:szCs w:val="28"/>
        </w:rPr>
        <w:t xml:space="preserve"> на 28%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вопросы бла</w:t>
      </w:r>
      <w:r>
        <w:rPr>
          <w:rFonts w:ascii="Times New Roman" w:hAnsi="Times New Roman"/>
          <w:sz w:val="28"/>
          <w:szCs w:val="28"/>
        </w:rPr>
        <w:t xml:space="preserve">гоустройства по сравнению с 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годом </w:t>
      </w:r>
      <w:r>
        <w:rPr>
          <w:rFonts w:ascii="Times New Roman" w:hAnsi="Times New Roman"/>
          <w:sz w:val="28"/>
          <w:szCs w:val="28"/>
        </w:rPr>
        <w:t xml:space="preserve">остались без изменений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Работа в данном направлении продолжается.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Тематическая структура наиболее актуальных обращений граждан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715000" cy="4086225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eastAsiaTheme="minorEastAsia"/>
      <w:lang w:eastAsia="ru-RU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/>
    <w:rPr>
      <w:rFonts w:ascii="Tahoma" w:hAnsi="Tahoma" w:cs="Tahoma" w:eastAsiaTheme="minorEastAsia"/>
      <w:sz w:val="16"/>
      <w:szCs w:val="16"/>
      <w:lang w:eastAsia="ru-RU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pple-converted-space" w:customStyle="1">
    <w:name w:val="apple-converted-space"/>
    <w:basedOn w:val="a0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customXml" Target="../customXml/item1.xml" /><Relationship Id="rId7" Type="http://schemas.openxmlformats.org/officeDocument/2006/relationships/chart" Target="charts/chart1.xml" /><Relationship Id="rId8" Type="http://schemas.openxmlformats.org/officeDocument/2006/relationships/chart" Target="charts/chart2.xml" /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1.xlsx" /></Relationships>
</file>

<file path=word/charts/_rels/chart2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2.xlsx" /><Relationship Id="rId2" Type="http://schemas.openxmlformats.org/officeDocument/2006/relationships/chartUserShapes" Target="../drawings/drawing1.xml" /><Relationship Id="rId3" Type="http://schemas.openxmlformats.org/officeDocument/2006/relationships/themeOverride" Target="../theme/themeOverride1.xm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ru-RU"/>
  <c:roundedCorners val="0"/>
  <mc:AlternateContent>
    <mc:Choice Requires="c14">
      <c14:style val="137"/>
    </mc:Choice>
    <mc:Fallback>
      <c:style val="37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 panose="02020603050405020304"/>
                <a:cs typeface="Times New Roman" pitchFamily="18" charset="0" panose="02020603050405020304"/>
              </a:defRPr>
            </a:pPr>
            <a:r>
              <a:rPr lang="ru-RU" sz="1400">
                <a:latin typeface="Times New Roman" pitchFamily="18" charset="0" panose="02020603050405020304"/>
                <a:cs typeface="Times New Roman" pitchFamily="18" charset="0" panose="02020603050405020304"/>
              </a:rPr>
              <a:t>Количество обращений</a:t>
            </a:r>
          </a:p>
          <a:p>
            <a:pPr>
              <a:defRPr sz="1400">
                <a:latin typeface="Times New Roman" pitchFamily="18" charset="0" panose="02020603050405020304"/>
                <a:cs typeface="Times New Roman" pitchFamily="18" charset="0" panose="02020603050405020304"/>
              </a:defRPr>
            </a:pPr>
            <a:endParaRPr lang="ru-RU" sz="1400">
              <a:latin typeface="Times New Roman" pitchFamily="18" charset="0" panose="02020603050405020304"/>
              <a:cs typeface="Times New Roman" pitchFamily="18" charset="0" panose="02020603050405020304"/>
            </a:endParaRPr>
          </a:p>
        </c:rich>
      </c:tx>
      <c:layout>
        <c:manualLayout>
          <c:xMode val="edge"/>
          <c:yMode val="edge"/>
          <c:x val="0.31652065853407774"/>
          <c:y val="0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081557916757931059"/>
          <c:y val="0.054097419227346455"/>
          <c:w val="0.52444612623831022"/>
          <c:h val="0.8783544987254137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количество обращений 2020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 xml:space="preserve">2025  год </c:v>
                </c:pt>
                <c:pt idx="1">
                  <c:v xml:space="preserve">2024  год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 xml:space="preserve">количество обращений 2021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 xml:space="preserve">2025  год </c:v>
                </c:pt>
                <c:pt idx="1">
                  <c:v xml:space="preserve">2024  год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990305840"/>
        <c:axId val="-1990298768"/>
        <c:axId val="0"/>
      </c:bar3DChart>
      <c:catAx>
        <c:axId val="-1990305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 panose="02020603050405020304"/>
                <a:cs typeface="Times New Roman" pitchFamily="18" charset="0" panose="02020603050405020304"/>
              </a:defRPr>
            </a:pPr>
            <a:endParaRPr lang="ru-RU"/>
          </a:p>
        </c:txPr>
        <c:crossAx val="-1990298768"/>
        <c:crosses val="autoZero"/>
        <c:auto val="1"/>
        <c:lblAlgn val="ctr"/>
        <c:lblOffset val="100"/>
        <c:noMultiLvlLbl val="0"/>
      </c:catAx>
      <c:valAx>
        <c:axId val="-1990298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 panose="02020603050405020304"/>
                <a:cs typeface="Times New Roman" pitchFamily="18" charset="0" panose="02020603050405020304"/>
              </a:defRPr>
            </a:pPr>
            <a:endParaRPr lang="ru-RU"/>
          </a:p>
        </c:txPr>
        <c:crossAx val="-19903058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37"/>
    </mc:Choice>
    <mc:Fallback>
      <c:style val="3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3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068852019527213121"/>
          <c:y val="0.18241201245193189"/>
          <c:w val="0.86810333804428297"/>
          <c:h val="0.629429612848312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Тематическая структура обращений граждан</c:v>
                </c:pt>
              </c:strCache>
            </c:strRef>
          </c:tx>
          <c:explosion val="46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Pt>
            <c:idx val="11"/>
            <c:bubble3D val="0"/>
            <c:explosion val="108"/>
          </c:dPt>
          <c:dLbls>
            <c:dLbl>
              <c:idx val="0"/>
              <c:layout>
                <c:manualLayout>
                  <c:x val="0.052222755516351228"/>
                  <c:y val="0.34748287859366417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itchFamily="18" charset="0" panose="02020603050405020304"/>
                        <a:cs typeface="Times New Roman" pitchFamily="18" charset="0" panose="02020603050405020304"/>
                      </a:defRPr>
                    </a:pPr>
                    <a:r>
                      <a:rPr lang="ru-RU" sz="1000" spc="-100" baseline="0"/>
                      <a:t>Вопросы труда 
</a:t>
                    </a:r>
                    <a:r>
                      <a:rPr lang="ru-RU" sz="1000" b="1" spc="-100" baseline="0"/>
                      <a:t>1,0%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uri="{CE6537A1-D6FC-4f65-9D91-7224C49458BB}"/>
              </c:extLst>
            </c:dLbl>
            <c:dLbl>
              <c:idx val="1"/>
              <c:layout>
                <c:manualLayout>
                  <c:x val="-0.085508957179364131"/>
                  <c:y val="-0.091203076359641089"/>
                </c:manualLayout>
              </c:layout>
              <c:tx>
                <c:rich>
                  <a:bodyPr/>
                  <a:lstStyle/>
                  <a:p>
                    <a:r>
                      <a:rPr lang="ru-RU" sz="1050" spc="-100" baseline="0"/>
                      <a:t>Об ограничении режима работы предприятий торговли
</a:t>
                    </a:r>
                    <a:r>
                      <a:rPr lang="ru-RU" sz="1050" b="1" spc="-100" baseline="0"/>
                      <a:t>15%</a:t>
                    </a:r>
                    <a:endParaRPr lang="ru-RU" b="1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uri="{CE6537A1-D6FC-4f65-9D91-7224C49458BB}"/>
              </c:extLst>
            </c:dLbl>
            <c:dLbl>
              <c:idx val="2"/>
              <c:layout>
                <c:manualLayout>
                  <c:x val="-0.46085191575105833"/>
                  <c:y val="-0.24892950009155831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itchFamily="18" charset="0" panose="02020603050405020304"/>
                        <a:cs typeface="Times New Roman" pitchFamily="18" charset="0" panose="02020603050405020304"/>
                      </a:defRPr>
                    </a:pPr>
                    <a:r>
                      <a:rPr lang="ru-RU" sz="1000" spc="-100" baseline="0"/>
                      <a:t>Несанкционированная торговля
</a:t>
                    </a:r>
                    <a:r>
                      <a:rPr lang="ru-RU" sz="1000" b="1" spc="-100" baseline="0"/>
                      <a:t>6,0%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uri="{CE6537A1-D6FC-4f65-9D91-7224C49458BB}"/>
              </c:extLst>
            </c:dLbl>
            <c:dLbl>
              <c:idx val="3"/>
              <c:layout>
                <c:manualLayout>
                  <c:x val="-0.25761634820359153"/>
                  <c:y val="-0.33637746444485139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itchFamily="18" charset="0" panose="02020603050405020304"/>
                        <a:cs typeface="Times New Roman" pitchFamily="18" charset="0" panose="02020603050405020304"/>
                      </a:defRPr>
                    </a:pPr>
                    <a:r>
                      <a:rPr lang="ru-RU" sz="1000" spc="-100" baseline="0"/>
                      <a:t>Вопросы развития предпринимательства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uri="{CE6537A1-D6FC-4f65-9D91-7224C49458BB}"/>
              </c:extLst>
            </c:dLbl>
            <c:dLbl>
              <c:idx val="4"/>
              <c:layout>
                <c:manualLayout>
                  <c:x val="-0.064570907219793652"/>
                  <c:y val="-0.41360239272416527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itchFamily="18" charset="0" panose="02020603050405020304"/>
                        <a:cs typeface="Times New Roman" pitchFamily="18" charset="0" panose="02020603050405020304"/>
                      </a:defRPr>
                    </a:pPr>
                    <a:r>
                      <a:rPr lang="ru-RU" sz="1000" spc="-100" baseline="0"/>
                      <a:t>Нарушения правил торговли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uri="{CE6537A1-D6FC-4f65-9D91-7224C49458BB}"/>
              </c:extLst>
            </c:dLbl>
            <c:dLbl>
              <c:idx val="5"/>
              <c:layout>
                <c:manualLayout>
                  <c:x val="-0.76387707714459907"/>
                  <c:y val="0.087047793444424093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itchFamily="18" charset="0" panose="02020603050405020304"/>
                        <a:cs typeface="Times New Roman" pitchFamily="18" charset="0" panose="02020603050405020304"/>
                      </a:defRPr>
                    </a:pPr>
                    <a:r>
                      <a:rPr lang="ru-RU" sz="1000" spc="-100" baseline="0"/>
                      <a:t>Нарушения прав потребителей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uri="{CE6537A1-D6FC-4f65-9D91-7224C49458BB}"/>
              </c:extLst>
            </c:dLbl>
            <c:dLbl>
              <c:idx val="6"/>
              <c:layout>
                <c:manualLayout>
                  <c:x val="0.07136772648064775"/>
                  <c:y val="-0.28783690410791674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itchFamily="18" charset="0" panose="02020603050405020304"/>
                        <a:cs typeface="Times New Roman" pitchFamily="18" charset="0" panose="02020603050405020304"/>
                      </a:defRPr>
                    </a:pPr>
                    <a:r>
                      <a:rPr lang="ru-RU" sz="1000" spc="-100" baseline="0"/>
                      <a:t>О предоставлении торговых мест 
</a:t>
                    </a:r>
                    <a:r>
                      <a:rPr lang="ru-RU" sz="1000" b="1" spc="-100" baseline="0"/>
                      <a:t>2,0%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uri="{CE6537A1-D6FC-4f65-9D91-7224C49458BB}"/>
              </c:extLst>
            </c:dLbl>
            <c:dLbl>
              <c:idx val="7"/>
              <c:layout>
                <c:manualLayout>
                  <c:x val="0.071273463140007001"/>
                  <c:y val="-0.086529451260452903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itchFamily="18" charset="0" panose="02020603050405020304"/>
                        <a:cs typeface="Times New Roman" pitchFamily="18" charset="0" panose="02020603050405020304"/>
                      </a:defRPr>
                    </a:pPr>
                    <a:r>
                      <a:rPr lang="ru-RU" sz="1000" spc="-100" baseline="0"/>
                      <a:t>Вопросы промышленности 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uri="{CE6537A1-D6FC-4f65-9D91-7224C49458BB}"/>
              </c:extLst>
            </c:dLbl>
            <c:dLbl>
              <c:idx val="8"/>
              <c:layout>
                <c:manualLayout>
                  <c:x val="0.057701271690297359"/>
                  <c:y val="0.025325032045412928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itchFamily="18" charset="0" panose="02020603050405020304"/>
                        <a:cs typeface="Times New Roman" pitchFamily="18" charset="0" panose="02020603050405020304"/>
                      </a:defRPr>
                    </a:pPr>
                    <a:r>
                      <a:rPr lang="ru-RU" sz="1000" spc="-100" baseline="0"/>
                      <a:t>О закрытии магазинов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uri="{CE6537A1-D6FC-4f65-9D91-7224C49458BB}"/>
              </c:extLst>
            </c:dLbl>
            <c:dLbl>
              <c:idx val="9"/>
              <c:layout>
                <c:manualLayout>
                  <c:x val="0.085353292947112913"/>
                  <c:y val="0.23144723188671174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itchFamily="18" charset="0" panose="02020603050405020304"/>
                        <a:cs typeface="Times New Roman" pitchFamily="18" charset="0" panose="02020603050405020304"/>
                      </a:defRPr>
                    </a:pPr>
                    <a:r>
                      <a:rPr lang="ru-RU" sz="1000" spc="-100" baseline="0"/>
                      <a:t>Вопросы благоустройства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uri="{CE6537A1-D6FC-4f65-9D91-7224C49458BB}"/>
              </c:extLst>
            </c:dLbl>
            <c:dLbl>
              <c:idx val="10"/>
              <c:layout>
                <c:manualLayout>
                  <c:x val="-0.087882836721192473"/>
                  <c:y val="0.18200866752121111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itchFamily="18" charset="0" panose="02020603050405020304"/>
                        <a:cs typeface="Times New Roman" pitchFamily="18" charset="0" panose="02020603050405020304"/>
                      </a:defRPr>
                    </a:pPr>
                    <a:r>
                      <a:rPr lang="ru-RU"/>
                      <a:t>Прочие вопросы 
</a:t>
                    </a:r>
                    <a:r>
                      <a:rPr lang="ru-RU" b="1"/>
                      <a:t>10%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uri="{CE6537A1-D6FC-4f65-9D91-7224C49458BB}"/>
              </c:extLst>
            </c:dLbl>
            <c:dLbl>
              <c:idx val="11"/>
              <c:layout>
                <c:manualLayout>
                  <c:x val="0.10704320114845595"/>
                  <c:y val="0.11529854117072576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itchFamily="18" charset="0" panose="02020603050405020304"/>
                        <a:cs typeface="Times New Roman" pitchFamily="18" charset="0" panose="02020603050405020304"/>
                      </a:defRPr>
                    </a:pPr>
                    <a:r>
                      <a:rPr lang="ru-RU"/>
                      <a:t>ЛПХ
</a:t>
                    </a:r>
                    <a:r>
                      <a:rPr lang="ru-RU" b="1"/>
                      <a:t>8,0%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spc="-100" baseline="0">
                    <a:latin typeface="Times New Roman" pitchFamily="18" charset="0" panose="02020603050405020304"/>
                    <a:cs typeface="Times New Roman" pitchFamily="18" charset="0" panose="02020603050405020304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accent3">
                      <a:shade val="95000"/>
                      <a:satMod val="105000"/>
                    </a:schemeClr>
                  </a:solidFill>
                  <a:prstDash val="solid"/>
                </a:ln>
                <a:effectLst/>
              </c:spPr>
            </c:leaderLines>
            <c:extLst>
              <c:ext uri="{CE6537A1-D6FC-4f65-9D91-7224C49458BB}"/>
            </c:extLst>
          </c:dLbls>
          <c:cat>
            <c:strRef>
              <c:f>Лист1!$A$2:$A$13</c:f>
              <c:strCache>
                <c:ptCount val="12"/>
                <c:pt idx="0">
                  <c:v xml:space="preserve">Вопросы труда </c:v>
                </c:pt>
                <c:pt idx="1">
                  <c:v xml:space="preserve">Об ограничении режима работы предприятий торговли</c:v>
                </c:pt>
                <c:pt idx="2">
                  <c:v xml:space="preserve">Несанкционированная торговля</c:v>
                </c:pt>
                <c:pt idx="3">
                  <c:v xml:space="preserve">Вопросы развития предпринимательства</c:v>
                </c:pt>
                <c:pt idx="4">
                  <c:v xml:space="preserve">Нарушения правил торговли</c:v>
                </c:pt>
                <c:pt idx="5">
                  <c:v xml:space="preserve">Нарушения прав потребителей</c:v>
                </c:pt>
                <c:pt idx="6">
                  <c:v xml:space="preserve">О предоставлении торговых мест </c:v>
                </c:pt>
                <c:pt idx="7">
                  <c:v xml:space="preserve">Вопросы промышленности </c:v>
                </c:pt>
                <c:pt idx="8">
                  <c:v xml:space="preserve">Вопросы благоустройства</c:v>
                </c:pt>
                <c:pt idx="9">
                  <c:v xml:space="preserve">О закрытии магазинов</c:v>
                </c:pt>
                <c:pt idx="10">
                  <c:v xml:space="preserve">Прочие вопросы </c:v>
                </c:pt>
                <c:pt idx="11">
                  <c:v>ЛПХ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3</c:v>
                </c:pt>
                <c:pt idx="1">
                  <c:v>61</c:v>
                </c:pt>
                <c:pt idx="2">
                  <c:v>11</c:v>
                </c:pt>
                <c:pt idx="3">
                  <c:v>5</c:v>
                </c:pt>
                <c:pt idx="4">
                  <c:v>3</c:v>
                </c:pt>
                <c:pt idx="5">
                  <c:v>0</c:v>
                </c:pt>
                <c:pt idx="6">
                  <c:v>2</c:v>
                </c:pt>
                <c:pt idx="7">
                  <c:v>0</c:v>
                </c:pt>
                <c:pt idx="8">
                  <c:v>2</c:v>
                </c:pt>
                <c:pt idx="9">
                  <c:v>0</c:v>
                </c:pt>
                <c:pt idx="10">
                  <c:v>15</c:v>
                </c:pt>
                <c:pt idx="11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  <c:userShapes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 r:id="rId2"/>
</c:chartSpace>
</file>

<file path=word/drawings/_rels/.rels><?xml version="1.0" encoding="UTF-8" standalone="yes"?><Relationships xmlns="http://schemas.openxmlformats.org/package/2006/relationships"></Relationships>
</file>

<file path=word/drawings/drawing1.xml><?xml version="1.0" encoding="utf-8"?>
<c:userShapes xmlns:c="http://schemas.openxmlformats.org/drawingml/2006/chart" xmlns:cdr="http://schemas.openxmlformats.org/drawingml/2006/chartDrawing" xmlns:a="http://schemas.openxmlformats.org/drawingml/2006/main" xmlns:r="http://schemas.openxmlformats.org/officeDocument/2006/relationships">
  <cdr:relSizeAnchor>
    <cdr:from>
      <cdr:x>0.10544000000000001</cdr:x>
      <cdr:y>0.48604999999999998</cdr:y>
    </cdr:from>
    <cdr:to>
      <cdr:x>0.24052999999999999</cdr:x>
      <cdr:y>0.55115999999999998</cdr:y>
    </cdr:to>
    <cdr:cxnSp macro="">
      <cdr:nvCxnSpPr>
        <cdr:cNvPr id="4" name="Прямая соединительная линия 3"/>
        <cdr:cNvCxnSpPr>
          <a:cxnSpLocks/>
        </cdr:cNvCxnSpPr>
      </cdr:nvCxnSpPr>
      <cdr:spPr>
        <a:xfrm flipH="1">
          <a:off x="609600" y="1990725"/>
          <a:ext cx="781050" cy="266700"/>
        </a:xfrm>
        <a:prstGeom prst="line">
          <a:avLst/>
        </a:prstGeom>
      </cdr:spPr>
      <cdr:style>
        <a:lnRef idx="1">
          <a:schemeClr val="accent3"/>
        </a:lnRef>
        <a:fillRef idx="0">
          <a:schemeClr val="accent3"/>
        </a:fillRef>
        <a:effectRef idx="0">
          <a:schemeClr val="accent3"/>
        </a:effectRef>
        <a:fontRef idx="minor">
          <a:schemeClr val="tx1"/>
        </a:fontRef>
      </cdr:style>
    </cdr:cxnSp>
  </cdr:relSizeAnchor>
  <cdr:relSizeAnchor>
    <cdr:from>
      <cdr:x>0.66391999999999995</cdr:x>
      <cdr:y>0.17907000000000001</cdr:y>
    </cdr:from>
    <cdr:to>
      <cdr:x>0.71335000000000004</cdr:x>
      <cdr:y>0.36279</cdr:y>
    </cdr:to>
    <cdr:cxnSp macro="">
      <cdr:nvCxnSpPr>
        <cdr:cNvPr id="8" name="Прямая соединительная линия 7"/>
        <cdr:cNvCxnSpPr>
          <a:cxnSpLocks/>
        </cdr:cNvCxnSpPr>
      </cdr:nvCxnSpPr>
      <cdr:spPr>
        <a:xfrm flipH="1" flipV="1">
          <a:off x="3838555" y="733427"/>
          <a:ext cx="285788" cy="752471"/>
        </a:xfrm>
        <a:prstGeom prst="line">
          <a:avLst/>
        </a:prstGeom>
      </cdr:spPr>
      <cdr:style>
        <a:lnRef idx="1">
          <a:schemeClr val="accent3"/>
        </a:lnRef>
        <a:fillRef idx="0">
          <a:schemeClr val="accent3"/>
        </a:fillRef>
        <a:effectRef idx="0">
          <a:schemeClr val="accent3"/>
        </a:effectRef>
        <a:fontRef idx="minor">
          <a:schemeClr val="tx1"/>
        </a:fontRef>
      </cdr:style>
    </cdr:cxnSp>
  </cdr:relSizeAnchor>
  <cdr:relSizeAnchor>
    <cdr:from>
      <cdr:x>0.44480999999999998</cdr:x>
      <cdr:y>0.13721</cdr:y>
    </cdr:from>
    <cdr:to>
      <cdr:x>0.65732999999999997</cdr:x>
      <cdr:y>0.36743999999999999</cdr:y>
    </cdr:to>
    <cdr:cxnSp macro="">
      <cdr:nvCxnSpPr>
        <cdr:cNvPr id="11" name="Прямая соединительная линия 10"/>
        <cdr:cNvCxnSpPr>
          <a:cxnSpLocks/>
        </cdr:cNvCxnSpPr>
      </cdr:nvCxnSpPr>
      <cdr:spPr>
        <a:xfrm flipH="1" flipV="1">
          <a:off x="2571750" y="561975"/>
          <a:ext cx="1228727" cy="942975"/>
        </a:xfrm>
        <a:prstGeom prst="line">
          <a:avLst/>
        </a:prstGeom>
      </cdr:spPr>
      <cdr:style>
        <a:lnRef idx="1">
          <a:schemeClr val="accent3"/>
        </a:lnRef>
        <a:fillRef idx="0">
          <a:schemeClr val="accent3"/>
        </a:fillRef>
        <a:effectRef idx="0">
          <a:schemeClr val="accent3"/>
        </a:effectRef>
        <a:fontRef idx="minor">
          <a:schemeClr val="tx1"/>
        </a:fontRef>
      </cdr:style>
    </cdr:cxnSp>
  </cdr:relSizeAnchor>
  <cdr:relSizeAnchor>
    <cdr:from>
      <cdr:x>0.75673000000000001</cdr:x>
      <cdr:y>0.15115999999999999</cdr:y>
    </cdr:from>
    <cdr:to>
      <cdr:x>0.80725000000000002</cdr:x>
      <cdr:y>0.37286999999999998</cdr:y>
    </cdr:to>
    <cdr:cxnSp macro="">
      <cdr:nvCxnSpPr>
        <cdr:cNvPr id="6" name="Прямая соединительная линия 5"/>
        <cdr:cNvCxnSpPr>
          <a:cxnSpLocks/>
        </cdr:cNvCxnSpPr>
      </cdr:nvCxnSpPr>
      <cdr:spPr>
        <a:xfrm flipV="1">
          <a:off x="4375169" y="619125"/>
          <a:ext cx="292081" cy="908051"/>
        </a:xfrm>
        <a:prstGeom prst="line">
          <a:avLst/>
        </a:prstGeom>
      </cdr:spPr>
      <cdr:style>
        <a:lnRef idx="1">
          <a:schemeClr val="accent3"/>
        </a:lnRef>
        <a:fillRef idx="0">
          <a:schemeClr val="accent3"/>
        </a:fillRef>
        <a:effectRef idx="0">
          <a:schemeClr val="accent3"/>
        </a:effectRef>
        <a:fontRef idx="minor">
          <a:schemeClr val="tx1"/>
        </a:fontRef>
      </cdr:style>
    </cdr:cxnSp>
  </cdr:relSizeAnchor>
</c:userShapes>
</file>

<file path=word/embeddings/_rels/Microsoft_Excel_Worksheet1.xlsx.rels><?xml version="1.0" encoding="UTF-8" standalone="yes"?><Relationships xmlns="http://schemas.openxmlformats.org/package/2006/relationships"></Relationships>
</file>

<file path=word/embeddings/_rels/Microsoft_Excel_Worksheet2.xlsx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 xmlns:r="http://schemas.openxmlformats.org/officeDocument/2006/relationships" xmlns:p="http://schemas.openxmlformats.org/presentation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Arial"/>
      <a:cs typeface="Arial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Arial"/>
      <a:cs typeface="Arial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EA83C-1CC2-4B49-B383-487FFE9C2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haracters>1511</Characters>
  <CharactersWithSpaces>1772</CharactersWithSpaces>
  <Company/>
  <DocSecurity>0</DocSecurity>
  <HyperlinksChanged>false</HyperlinksChanged>
  <Lines>12</Lines>
  <LinksUpToDate>false</LinksUpToDate>
  <Pages>2</Pages>
  <Paragraphs>3</Paragraphs>
  <ScaleCrop>false</ScaleCrop>
  <SharedDoc>false</SharedDoc>
  <Template>Normal</Template>
  <TotalTime>715</TotalTime>
  <Words>264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Чернышова</dc:creator>
  <cp:keywords/>
  <dc:description/>
  <cp:lastModifiedBy>Аделина А. Горбунова</cp:lastModifiedBy>
  <cp:revision>67</cp:revision>
  <cp:lastPrinted>2021-12-29T07:40:00Z</cp:lastPrinted>
  <dcterms:created xsi:type="dcterms:W3CDTF">2018-09-27T09:37:00Z</dcterms:created>
  <dcterms:modified xsi:type="dcterms:W3CDTF">2025-07-02T07:17:00Z</dcterms:modified>
</cp:coreProperties>
</file>