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pPr>
      <w:r>
        <w:rPr>
          <w:b/>
          <w:spacing w:val="-11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00" cy="723600"/>
                <wp:effectExtent l="0" t="0" r="0" b="635"/>
                <wp:docPr id="1" name="Рисунок 3" descr="G:\ivc\Сапожников\Герб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:\ivc\Сапожников\Герб5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00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.77pt;height:56.98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PT Astra Serif" w:hAnsi="PT Astra Serif" w:cs="PT Astra Serif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АДМ</w:t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 xml:space="preserve">ИНИСТРАЦИЯ ГОРОДА БАРНАУЛА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jc w:val="center"/>
        <w:keepNext/>
        <w:spacing w:before="182" w:after="0" w:line="240" w:lineRule="auto"/>
        <w:shd w:val="clear" w:color="auto" w:fill="ffffff"/>
        <w:widowControl w:val="off"/>
        <w:rPr>
          <w:rFonts w:ascii="Verdana" w:hAnsi="Verdana" w:eastAsia="Times New Roman" w:cs="Arial"/>
          <w:b/>
          <w:bCs/>
          <w:sz w:val="30"/>
          <w:szCs w:val="30"/>
          <w:lang w:eastAsia="ru-RU"/>
        </w:rPr>
        <w:outlineLvl w:val="0"/>
      </w:pPr>
      <w:r>
        <w:rPr>
          <w:rFonts w:ascii="Open Sans Extrabold" w:hAnsi="Open Sans Extrabold" w:eastAsia="Open Sans Extrabold" w:cs="Open Sans Extrabold"/>
          <w:b/>
          <w:bCs/>
          <w:sz w:val="30"/>
          <w:szCs w:val="30"/>
          <w:lang w:eastAsia="ru-RU"/>
        </w:rPr>
        <w:t xml:space="preserve">ПОСТАНОВЛЕНИЕ</w:t>
      </w:r>
      <w:r>
        <w:rPr>
          <w:rFonts w:ascii="Verdana" w:hAnsi="Verdana" w:eastAsia="Times New Roman" w:cs="Arial"/>
          <w:b/>
          <w:bCs/>
          <w:sz w:val="30"/>
          <w:szCs w:val="30"/>
          <w:lang w:eastAsia="ru-RU"/>
        </w:rPr>
      </w:r>
      <w:r>
        <w:rPr>
          <w:rFonts w:ascii="Verdana" w:hAnsi="Verdana" w:eastAsia="Times New Roman" w:cs="Arial"/>
          <w:b/>
          <w:bCs/>
          <w:sz w:val="30"/>
          <w:szCs w:val="30"/>
          <w:lang w:eastAsia="ru-RU"/>
        </w:rPr>
      </w:r>
    </w:p>
    <w:p>
      <w:pPr>
        <w:jc w:val="center"/>
        <w:spacing w:after="0" w:line="240" w:lineRule="auto"/>
        <w:rPr>
          <w:rFonts w:ascii="Book Antiqua" w:hAnsi="Book Antiqua" w:eastAsia="Times New Roman" w:cs="Times New Roman"/>
          <w:sz w:val="28"/>
          <w:szCs w:val="28"/>
          <w:lang w:eastAsia="ru-RU"/>
        </w:rPr>
      </w:pPr>
      <w:r>
        <w:rPr>
          <w:rFonts w:ascii="Book Antiqua" w:hAnsi="Book Antiqua" w:eastAsia="Times New Roman" w:cs="Times New Roman"/>
          <w:sz w:val="28"/>
          <w:szCs w:val="28"/>
          <w:lang w:eastAsia="ru-RU"/>
        </w:rPr>
      </w:r>
      <w:r>
        <w:rPr>
          <w:rFonts w:ascii="Book Antiqua" w:hAnsi="Book Antiqua" w:eastAsia="Times New Roman" w:cs="Times New Roman"/>
          <w:sz w:val="28"/>
          <w:szCs w:val="28"/>
          <w:lang w:eastAsia="ru-RU"/>
        </w:rPr>
      </w:r>
      <w:r>
        <w:rPr>
          <w:rFonts w:ascii="Book Antiqua" w:hAnsi="Book Antiqua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 xml:space="preserve">От __________________</w:t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</w:r>
      <w:r>
        <w:rPr>
          <w:rFonts w:ascii="PT Astra Serif" w:hAnsi="PT Astra Serif" w:eastAsia="PT Astra Serif" w:cs="PT Astra Serif"/>
          <w:sz w:val="24"/>
          <w:szCs w:val="24"/>
          <w:lang w:eastAsia="ru-RU"/>
        </w:rPr>
        <w:tab/>
        <w:t xml:space="preserve">             №______________</w:t>
      </w:r>
      <w:r>
        <w:rPr>
          <w:rFonts w:ascii="PT Astra Serif" w:hAnsi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eastAsia="ru-RU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spacing w:after="0" w:line="235" w:lineRule="auto"/>
        <w:rPr>
          <w:rFonts w:ascii="PT Astra Serif" w:hAnsi="PT Astra Serif" w:cs="PT Astra Serif"/>
          <w:sz w:val="28"/>
          <w:szCs w:val="20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0"/>
          <w:highlight w:val="white"/>
          <w:lang w:eastAsia="ru-RU"/>
        </w:rPr>
      </w:r>
      <w:r>
        <w:rPr>
          <w:rFonts w:ascii="PT Astra Serif" w:hAnsi="PT Astra Serif" w:cs="PT Astra Serif"/>
          <w:sz w:val="28"/>
          <w:szCs w:val="20"/>
          <w:highlight w:val="white"/>
        </w:rPr>
      </w:r>
      <w:r>
        <w:rPr>
          <w:rFonts w:ascii="PT Astra Serif" w:hAnsi="PT Astra Serif" w:cs="PT Astra Serif"/>
          <w:sz w:val="28"/>
          <w:szCs w:val="20"/>
          <w:highlight w:val="white"/>
        </w:rPr>
      </w:r>
    </w:p>
    <w:p>
      <w:pPr>
        <w:ind w:right="9"/>
        <w:jc w:val="both"/>
        <w:spacing w:line="235" w:lineRule="auto"/>
        <w:tabs>
          <w:tab w:val="left" w:pos="284" w:leader="none"/>
          <w:tab w:val="left" w:pos="567" w:leader="none"/>
        </w:tabs>
        <w:rPr>
          <w:rFonts w:ascii="PT Astra Serif" w:hAnsi="PT Astra Serif" w:cs="PT Astra Serif"/>
          <w:sz w:val="28"/>
          <w:szCs w:val="28"/>
          <w:highlight w:val="white"/>
        </w:rPr>
        <w:framePr w:w="3991" w:h="2161" w:wrap="around" w:vAnchor="text" w:hAnchor="page" w:x="2011" w:y="-266" w:hRule="exact"/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О внесении изменений                          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поста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новление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администрации города от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18.11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.20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22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№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1763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br/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(в редакции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постановления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br/>
        <w:t xml:space="preserve">от 28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.02.2025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№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279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)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ind w:firstLine="708"/>
        <w:jc w:val="both"/>
        <w:spacing w:line="235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eastAsia="PT Astra Serif" w:cs="PT Astra Serif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  <w:highlight w:val="yellow"/>
        </w:rPr>
      </w:r>
    </w:p>
    <w:p>
      <w:pPr>
        <w:ind w:firstLine="708"/>
        <w:jc w:val="right"/>
        <w:spacing w:line="235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eastAsia="PT Astra Serif" w:cs="PT Astra Serif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  <w:highlight w:val="yellow"/>
        </w:rPr>
      </w:r>
    </w:p>
    <w:p>
      <w:pPr>
        <w:pStyle w:val="885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8"/>
        <w:jc w:val="both"/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</w:p>
    <w:p>
      <w:pPr>
        <w:pStyle w:val="885"/>
        <w:ind w:firstLine="708"/>
        <w:jc w:val="both"/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В соответствии с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решением Барнаульской городской Думы </w:t>
      </w:r>
      <w:r>
        <w:rPr>
          <w:rFonts w:ascii="PT Astra Serif" w:hAnsi="PT Astra Serif" w:eastAsia="PT Astra Serif" w:cs="PT Astra Serif"/>
          <w:bCs/>
          <w:sz w:val="28"/>
          <w:szCs w:val="28"/>
        </w:rPr>
        <w:br/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от </w:t>
      </w:r>
      <w:bookmarkStart w:id="0" w:name="_Hlk152692508"/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05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.12.2025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№</w:t>
      </w:r>
      <w:bookmarkEnd w:id="0"/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610 «О бюджете города на 2026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год и на плановый период 2027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и 2028</w:t>
      </w:r>
      <w:r>
        <w:rPr>
          <w:rFonts w:ascii="PT Astra Serif" w:hAnsi="PT Astra Serif" w:eastAsia="PT Astra Serif" w:cs="PT Astra Serif"/>
          <w:bCs/>
          <w:sz w:val="28"/>
          <w:szCs w:val="28"/>
        </w:rPr>
        <w:t xml:space="preserve"> годов»,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постановлением администрации города от 03.04.2014 №635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«Об утверждении Порядка разработки, реализации и оценки эффективности муниципальных программ»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администрация города Барнаула </w:t>
      </w:r>
      <w:r>
        <w:rPr>
          <w:rFonts w:ascii="PT Astra Serif" w:hAnsi="PT Astra Serif" w:eastAsia="PT Astra Serif" w:cs="PT Astra Serif"/>
          <w:spacing w:val="30"/>
          <w:sz w:val="28"/>
          <w:szCs w:val="28"/>
        </w:rPr>
        <w:t xml:space="preserve">постановляет:</w:t>
      </w: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pacing w:val="30"/>
          <w:sz w:val="28"/>
          <w:szCs w:val="28"/>
          <w:highlight w:val="none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1. Внести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постановление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администрации города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от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18.11.2022 №1763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«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Об утверждении муниципальной программы «Управление муниципальным имуществом города Барнаула»</w:t>
      </w:r>
      <w:r>
        <w:rPr>
          <w:rFonts w:ascii="PT Astra Serif" w:hAnsi="PT Astra Serif" w:eastAsia="PT Astra Serif" w:cs="PT Astra Serif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(в редакции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постановления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от 28.02.2025 №279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)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следующие изменения: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  <w14:ligatures w14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.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.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 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 преамбуле постановления слова «о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т 06.10.2003 </w:t>
      </w:r>
      <w:hyperlink r:id="rId13" w:tooltip="https://login.consultant.ru/link/?req=doc&amp;base=LAW&amp;n=501480&amp;date=27.08.2025" w:history="1">
        <w:r>
          <w:rPr>
            <w:rFonts w:ascii="PT Astra Serif" w:hAnsi="PT Astra Serif" w:eastAsia="PT Astra Serif" w:cs="PT Astra Serif"/>
            <w:sz w:val="28"/>
            <w:szCs w:val="28"/>
            <w:highlight w:val="white"/>
          </w:rPr>
          <w:t xml:space="preserve">№131-ФЗ</w:t>
        </w:r>
      </w:hyperlink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  <w:br/>
        <w:t xml:space="preserve">«Об общих принципах организации местного самоуправления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  <w:br/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 Российской Федерации»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заменить словами «от 20.03.2025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№33-ФЗ </w:t>
        <w:br/>
        <w:t xml:space="preserve">«Об общих принципах организации местного самоуправления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 единой системе публичной власти»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white"/>
          <w14:ligatures w14:val="none"/>
        </w:rPr>
      </w:r>
      <w:r>
        <w:rPr>
          <w:rFonts w:ascii="PT Astra Serif" w:hAnsi="PT Astra Serif" w:cs="PT Astra Serif"/>
          <w:sz w:val="28"/>
          <w:szCs w:val="28"/>
          <w:highlight w:val="white"/>
          <w14:ligatures w14:val="none"/>
        </w:rPr>
      </w:r>
    </w:p>
    <w:p>
      <w:pPr>
        <w:pStyle w:val="885"/>
        <w:ind w:firstLine="709"/>
        <w:jc w:val="both"/>
        <w:spacing w:line="233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1.2. В приложении к постановлению: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1.2.1. Раздел «ПАСПОРТ </w:t>
      </w:r>
      <w:r>
        <w:rPr>
          <w:rStyle w:val="880"/>
          <w:rFonts w:ascii="PT Astra Serif" w:hAnsi="PT Astra Serif" w:eastAsia="PT Astra Serif" w:cs="PT Astra Serif"/>
          <w:sz w:val="28"/>
          <w:szCs w:val="28"/>
          <w:highlight w:val="white"/>
        </w:rPr>
        <w:t xml:space="preserve">муниципальной программы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«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Управление муниципальным имуществом города Барнаула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» изложить в новой редакции (приложение 1); 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5"/>
        <w:ind w:firstLine="709"/>
        <w:jc w:val="both"/>
        <w:rPr>
          <w:rFonts w:ascii="PT Astra Serif" w:hAnsi="PT Astra Serif" w:eastAsia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1.2.2. В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разделе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2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br/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ее реализации»: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1.2.2.1. Подраздел 2.1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изложить в следующей редакции: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8"/>
        <w:ind w:firstLine="709"/>
        <w:jc w:val="center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«2.1. Приоритеты муниципальной политики в сфере реализации Программы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white"/>
        </w:rPr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Стратегией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социально-экономического развития городского округа – города Барнаула Алтайского края на период до 2036 года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, утвержденной решением Барнаульской городской Думы от 23.12.2025 №630, установлены направления раз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вития для достижения сбалансированного и устойчивого роста экономики Барнаула и реального улучшения качества жизни населения, что невозможно без создания условий для эффективного использования имущества городского округа – города Барнаула Алтайского края.»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1.2.2.2. Подраздел 2.3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изложить в следующей редакции: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8"/>
        <w:ind w:firstLine="70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«2.3. Конечные результаты реализации Программы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В результате реализа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ции мероприятий Программы к 2030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году ожидается: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увеличение доли нежилых помещений, составляющих казну </w:t>
      </w:r>
      <w:r>
        <w:rPr>
          <w:rFonts w:ascii="PT Astra Serif" w:hAnsi="PT Astra Serif" w:eastAsia="PT Astra Serif" w:cs="PT Astra Serif"/>
          <w:sz w:val="28"/>
          <w:szCs w:val="28"/>
        </w:rPr>
        <w:br/>
        <w:t xml:space="preserve">и переданных в пользование, в общей площади предназначенных для сдачи в аренду нежилых помещений, составляющих казну и числящихся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балансе Комитета, до 98,4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%;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обеспечение доходов от использования муниципального имущества, за исключением поступлений от продажи имущества, в размере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276,5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руб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одного жителя города Барнаула;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постановка на учет в качестве бесхозяйных объектов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инженерной инфраструктуры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Управлении Федеральной службы государственной регистрации, кадастра и картографии по Алтайскому краю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1278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штук</w:t>
      </w:r>
      <w:r>
        <w:rPr>
          <w:rFonts w:ascii="PT Astra Serif" w:hAnsi="PT Astra Serif" w:eastAsia="PT Astra Serif" w:cs="PT Astra Serif"/>
          <w:sz w:val="28"/>
          <w:szCs w:val="28"/>
          <w:highlight w:val="whit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>
        <w:rPr>
          <w:rFonts w:ascii="PT Astra Serif" w:hAnsi="PT Astra Serif" w:cs="PT Astra Serif"/>
          <w:sz w:val="28"/>
          <w:szCs w:val="28"/>
          <w:highlight w:val="white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увеличение доли объектов энергетики и коммунальной сферы, </w:t>
      </w:r>
      <w:r>
        <w:rPr>
          <w:rFonts w:ascii="PT Astra Serif" w:hAnsi="PT Astra Serif" w:eastAsia="PT Astra Serif" w:cs="PT Astra Serif"/>
          <w:sz w:val="28"/>
          <w:szCs w:val="28"/>
        </w:rPr>
        <w:br/>
        <w:t xml:space="preserve">в отношении которых право муниципальной собственности зарегистрировано в соответствии с законодательством Российской Федерации (с уч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е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том бесхозяйных объектов), от их общего количества </w:t>
      </w:r>
      <w:r>
        <w:rPr>
          <w:rFonts w:ascii="PT Astra Serif" w:hAnsi="PT Astra Serif" w:eastAsia="PT Astra Serif" w:cs="PT Astra Serif"/>
          <w:sz w:val="28"/>
          <w:szCs w:val="28"/>
        </w:rPr>
        <w:br/>
        <w:t xml:space="preserve">на территории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муниципального образования, до 100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%;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увеличение доли объектов, на которые оформлено право муниципальной собственности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в общем количестве объектов, внесенных </w:t>
      </w:r>
      <w:r>
        <w:rPr>
          <w:rFonts w:ascii="PT Astra Serif" w:hAnsi="PT Astra Serif" w:eastAsia="PT Astra Serif" w:cs="PT Astra Serif"/>
          <w:sz w:val="28"/>
          <w:szCs w:val="28"/>
        </w:rPr>
        <w:br/>
        <w:t xml:space="preserve">в Реестр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муниципального имущества, до 92,7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%.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8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Сведения о целевых индикаторах и их значениях приведены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приложении 1 к Программе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.2.3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 Раздел 4 изложить в следующей редакции: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«4. Общий объем финансовых ресурсов, необходимых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для реализации Программы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Общий объем финансирования Программы – </w:t>
      </w:r>
      <w:r>
        <w:rPr>
          <w:rFonts w:ascii="PT Astra Serif" w:hAnsi="PT Astra Serif" w:eastAsia="PT Astra Serif" w:cs="PT Astra Serif"/>
          <w:sz w:val="28"/>
          <w:szCs w:val="28"/>
        </w:rPr>
        <w:br/>
        <w:t xml:space="preserve">731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441,96626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тыс.рублей, в том числе по годам: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2023 год – 59 877,1 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2024 год –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70 863,9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2025 год – 90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 027,66626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2026 год – 107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011,1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2027 год – 106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086,8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2028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2029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2030 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тыс.рублей,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за счет бюджета города – 731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441,96626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том числе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 годам: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2023 год – 59 877,1 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2024 год – 70 863,9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2025 год – 90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 027,66626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2026 год – 107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011,1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2027 год – 106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086,8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2028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2029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2030 год – 99 191,8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0000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тыс.рублей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Объемы финансирования подлежат ежегодному уточнению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в соответствии с решением о бюджете города на очередной финансовый год и плановый период.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Финансирование Программы является расходным обязательством городского округа – города Барнаула Алтайского края.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Общий объем финансовых ресурсов, необходимых для реализации Программы, приведен в приложении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3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к Программе.»;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1.2.4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 Приложения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1,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2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3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 </w:t>
      </w:r>
      <w:r>
        <w:rPr>
          <w:rStyle w:val="880"/>
          <w:rFonts w:ascii="PT Astra Serif" w:hAnsi="PT Astra Serif" w:eastAsia="PT Astra Serif" w:cs="PT Astra Serif"/>
          <w:sz w:val="28"/>
          <w:szCs w:val="28"/>
        </w:rPr>
        <w:t xml:space="preserve">муниципальной программе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«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Управление муниципальным имуществом города Барнаула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» изложить в новой редакции (приложения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2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3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4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).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after="0" w:line="235" w:lineRule="auto"/>
        <w:tabs>
          <w:tab w:val="left" w:pos="1134" w:leader="none"/>
        </w:tabs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2. Постановление вступает в силу со дня официального опубликования и распространяет свое действие на правоотношения, возникшие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 01.01.2026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  <w:highlight w:val="yellow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3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 Комитету информационной политики (Андреева Е.С.) обеспечить опубликование п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остановления в газете «Вечерний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Барнаул»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br/>
      </w:r>
      <w:r>
        <w:rPr>
          <w:rFonts w:ascii="PT Astra Serif" w:hAnsi="PT Astra Serif" w:eastAsia="PT Astra Serif" w:cs="PT Astra Serif"/>
          <w:sz w:val="28"/>
          <w:szCs w:val="28"/>
        </w:rPr>
        <w:t xml:space="preserve">и официальном сетевом издании «Правовой портал администрации г.Барнаула».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4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 Контроль за исполнением постановления возложить на первого заместителя главы администрации города.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5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Глава города</w:t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</w:r>
      <w:r>
        <w:rPr>
          <w:rFonts w:ascii="PT Astra Serif" w:hAnsi="PT Astra Serif" w:eastAsia="PT Astra Serif" w:cs="PT Astra Serif"/>
          <w:sz w:val="28"/>
          <w:szCs w:val="28"/>
        </w:rPr>
        <w:tab/>
        <w:t xml:space="preserve">         В.Г.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Франк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78"/>
        <w:ind w:firstLine="0"/>
        <w:spacing w:line="223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8"/>
        <w:ind w:firstLine="0"/>
        <w:spacing w:line="223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8"/>
        <w:ind w:firstLine="0"/>
        <w:spacing w:line="223" w:lineRule="auto"/>
        <w:rPr>
          <w:rFonts w:ascii="PT Astra Serif" w:hAnsi="PT Astra Serif" w:cs="PT Astra Serif"/>
          <w:szCs w:val="28"/>
        </w:r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pPr>
        <w:pStyle w:val="878"/>
        <w:ind w:firstLine="0"/>
        <w:spacing w:line="223" w:lineRule="auto"/>
        <w:rPr>
          <w:rFonts w:ascii="PT Astra Serif" w:hAnsi="PT Astra Serif" w:cs="PT Astra Serif"/>
          <w:szCs w:val="28"/>
        </w:rPr>
        <w:sectPr>
          <w:headerReference w:type="default" r:id="rId9"/>
          <w:footerReference w:type="default" r:id="rId10"/>
          <w:footnotePr/>
          <w:endnotePr/>
          <w:type w:val="nextPage"/>
          <w:pgSz w:w="11909" w:h="16834" w:orient="portrait"/>
          <w:pgMar w:top="567" w:right="994" w:bottom="1418" w:left="1843" w:header="426" w:footer="720" w:gutter="0"/>
          <w:pgNumType w:start="1"/>
          <w:cols w:num="1" w:sep="0" w:space="60" w:equalWidth="1"/>
          <w:docGrid w:linePitch="360"/>
          <w:titlePg/>
        </w:sectPr>
      </w:pPr>
      <w:r>
        <w:rPr>
          <w:rFonts w:ascii="PT Astra Serif" w:hAnsi="PT Astra Serif" w:eastAsia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  <w:r>
        <w:rPr>
          <w:rFonts w:ascii="PT Astra Serif" w:hAnsi="PT Astra Serif" w:cs="PT Astra Serif"/>
          <w:szCs w:val="28"/>
        </w:rPr>
      </w:r>
    </w:p>
    <w:p>
      <w:r/>
    </w:p>
    <w:sectPr>
      <w:footnotePr/>
      <w:endnotePr/>
      <w:type w:val="nextPage"/>
      <w:pgSz w:w="11909" w:h="16834" w:orient="portrait"/>
      <w:pgMar w:top="1134" w:right="851" w:bottom="1134" w:left="1985" w:header="567" w:footer="720" w:gutter="0"/>
      <w:pgNumType w:start="1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 Extrabold">
    <w:panose1 w:val="020B0906030804020204"/>
  </w:font>
  <w:font w:name="Verdana">
    <w:panose1 w:val="020B0604030504040204"/>
  </w:font>
  <w:font w:name="Courier New">
    <w:panose1 w:val="02070309020205020404"/>
  </w:font>
  <w:font w:name="Book Antiqua">
    <w:panose1 w:val="02040502050405020303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62825517"/>
      <w:docPartObj>
        <w:docPartGallery w:val="Page Numbers (Top of Page)"/>
        <w:docPartUnique w:val="true"/>
      </w:docPartObj>
      <w:rPr>
        <w:rFonts w:ascii="Times New Roman" w:hAnsi="Times New Roman" w:eastAsia="Calibri" w:cs="Times New Roman"/>
        <w:sz w:val="28"/>
      </w:rPr>
    </w:sdtPr>
    <w:sdtContent>
      <w:p>
        <w:pPr>
          <w:pStyle w:val="872"/>
          <w:jc w:val="right"/>
          <w:rPr>
            <w:rFonts w:ascii="Times New Roman" w:hAnsi="Times New Roman" w:eastAsia="Calibri" w:cs="Times New Roman"/>
            <w:sz w:val="28"/>
          </w:rPr>
        </w:pPr>
        <w:r>
          <w:rPr>
            <w:rFonts w:ascii="Times New Roman" w:hAnsi="Times New Roman" w:eastAsia="Calibri" w:cs="Times New Roman"/>
            <w:sz w:val="26"/>
            <w:szCs w:val="26"/>
          </w:rPr>
          <w:fldChar w:fldCharType="begin"/>
        </w:r>
        <w:r>
          <w:rPr>
            <w:rFonts w:ascii="Times New Roman" w:hAnsi="Times New Roman" w:eastAsia="Calibri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="Calibri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eastAsia="Calibri" w:cs="Times New Roman"/>
            <w:sz w:val="26"/>
            <w:szCs w:val="26"/>
          </w:rPr>
          <w:t xml:space="preserve">2</w:t>
        </w:r>
        <w:r>
          <w:rPr>
            <w:rFonts w:ascii="Times New Roman" w:hAnsi="Times New Roman" w:eastAsia="Calibri" w:cs="Times New Roman"/>
            <w:sz w:val="26"/>
            <w:szCs w:val="26"/>
          </w:rPr>
          <w:fldChar w:fldCharType="end"/>
        </w:r>
        <w:r>
          <w:rPr>
            <w:rFonts w:ascii="Times New Roman" w:hAnsi="Times New Roman" w:eastAsia="Calibri" w:cs="Times New Roman"/>
            <w:sz w:val="28"/>
          </w:rPr>
        </w:r>
        <w:r>
          <w:rPr>
            <w:rFonts w:ascii="Times New Roman" w:hAnsi="Times New Roman" w:eastAsia="Calibri" w:cs="Times New Roman"/>
            <w:sz w:val="28"/>
          </w:rPr>
        </w:r>
      </w:p>
    </w:sdtContent>
  </w:sdt>
  <w:p>
    <w:pPr>
      <w:pStyle w:val="872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105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-3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8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10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182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54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26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398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47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867"/>
    <w:link w:val="865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4"/>
    <w:next w:val="864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basedOn w:val="867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4"/>
    <w:next w:val="864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basedOn w:val="867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4"/>
    <w:next w:val="864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basedOn w:val="867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699">
    <w:name w:val="Heading 5 Char"/>
    <w:basedOn w:val="867"/>
    <w:link w:val="866"/>
    <w:uiPriority w:val="9"/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basedOn w:val="867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basedOn w:val="867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864"/>
    <w:next w:val="864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basedOn w:val="867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864"/>
    <w:next w:val="864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basedOn w:val="86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Title"/>
    <w:basedOn w:val="864"/>
    <w:next w:val="864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>
    <w:name w:val="Title Char"/>
    <w:basedOn w:val="867"/>
    <w:link w:val="708"/>
    <w:uiPriority w:val="10"/>
    <w:rPr>
      <w:sz w:val="48"/>
      <w:szCs w:val="48"/>
    </w:rPr>
  </w:style>
  <w:style w:type="paragraph" w:styleId="710">
    <w:name w:val="Subtitle"/>
    <w:basedOn w:val="864"/>
    <w:next w:val="864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>
    <w:name w:val="Subtitle Char"/>
    <w:basedOn w:val="867"/>
    <w:link w:val="710"/>
    <w:uiPriority w:val="11"/>
    <w:rPr>
      <w:sz w:val="24"/>
      <w:szCs w:val="24"/>
    </w:rPr>
  </w:style>
  <w:style w:type="paragraph" w:styleId="712">
    <w:name w:val="Quote"/>
    <w:basedOn w:val="864"/>
    <w:next w:val="864"/>
    <w:link w:val="713"/>
    <w:uiPriority w:val="29"/>
    <w:qFormat/>
    <w:pPr>
      <w:ind w:left="720" w:right="720"/>
    </w:pPr>
    <w:rPr>
      <w:i/>
    </w:rPr>
  </w:style>
  <w:style w:type="character" w:styleId="713">
    <w:name w:val="Quote Char"/>
    <w:link w:val="712"/>
    <w:uiPriority w:val="29"/>
    <w:rPr>
      <w:i/>
    </w:rPr>
  </w:style>
  <w:style w:type="paragraph" w:styleId="714">
    <w:name w:val="Intense Quote"/>
    <w:basedOn w:val="864"/>
    <w:next w:val="864"/>
    <w:link w:val="71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>
    <w:name w:val="Intense Quote Char"/>
    <w:link w:val="714"/>
    <w:uiPriority w:val="30"/>
    <w:rPr>
      <w:i/>
    </w:rPr>
  </w:style>
  <w:style w:type="character" w:styleId="716">
    <w:name w:val="Header Char"/>
    <w:basedOn w:val="867"/>
    <w:link w:val="872"/>
    <w:uiPriority w:val="99"/>
  </w:style>
  <w:style w:type="character" w:styleId="717">
    <w:name w:val="Footer Char"/>
    <w:basedOn w:val="867"/>
    <w:link w:val="874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867"/>
    <w:link w:val="718"/>
    <w:uiPriority w:val="35"/>
    <w:rPr>
      <w:b/>
      <w:bCs/>
      <w:color w:val="4f81bd" w:themeColor="accent1"/>
      <w:sz w:val="18"/>
      <w:szCs w:val="18"/>
    </w:rPr>
  </w:style>
  <w:style w:type="table" w:styleId="720">
    <w:name w:val="Table Grid"/>
    <w:basedOn w:val="86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6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basedOn w:val="867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basedOn w:val="867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</w:style>
  <w:style w:type="paragraph" w:styleId="865">
    <w:name w:val="Heading 1"/>
    <w:basedOn w:val="864"/>
    <w:next w:val="864"/>
    <w:link w:val="886"/>
    <w:qFormat/>
    <w:pPr>
      <w:ind w:left="408"/>
      <w:jc w:val="center"/>
      <w:keepNext/>
      <w:spacing w:before="182" w:after="0" w:line="240" w:lineRule="auto"/>
      <w:shd w:val="clear" w:color="auto" w:fill="ffffff"/>
      <w:widowControl w:val="off"/>
      <w:outlineLvl w:val="0"/>
    </w:pPr>
    <w:rPr>
      <w:rFonts w:ascii="Arial" w:hAnsi="Arial" w:eastAsia="Times New Roman" w:cs="Times New Roman"/>
      <w:b/>
      <w:bCs/>
      <w:sz w:val="34"/>
      <w:szCs w:val="34"/>
      <w:lang w:eastAsia="ru-RU"/>
    </w:rPr>
  </w:style>
  <w:style w:type="paragraph" w:styleId="866">
    <w:name w:val="Heading 5"/>
    <w:basedOn w:val="864"/>
    <w:next w:val="864"/>
    <w:link w:val="887"/>
    <w:qFormat/>
    <w:pPr>
      <w:spacing w:before="240" w:after="6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67" w:default="1">
    <w:name w:val="Default Paragraph Font"/>
    <w:uiPriority w:val="1"/>
    <w:semiHidden/>
    <w:unhideWhenUsed/>
  </w:style>
  <w:style w:type="table" w:styleId="8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  <w:style w:type="paragraph" w:styleId="870">
    <w:name w:val="Balloon Text"/>
    <w:basedOn w:val="864"/>
    <w:link w:val="87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1" w:customStyle="1">
    <w:name w:val="Текст выноски Знак"/>
    <w:basedOn w:val="867"/>
    <w:link w:val="870"/>
    <w:uiPriority w:val="99"/>
    <w:semiHidden/>
    <w:rPr>
      <w:rFonts w:ascii="Tahoma" w:hAnsi="Tahoma" w:cs="Tahoma"/>
      <w:sz w:val="16"/>
      <w:szCs w:val="16"/>
    </w:rPr>
  </w:style>
  <w:style w:type="paragraph" w:styleId="872">
    <w:name w:val="Header"/>
    <w:basedOn w:val="864"/>
    <w:link w:val="87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3" w:customStyle="1">
    <w:name w:val="Верхний колонтитул Знак"/>
    <w:basedOn w:val="867"/>
    <w:link w:val="872"/>
    <w:uiPriority w:val="99"/>
  </w:style>
  <w:style w:type="paragraph" w:styleId="874">
    <w:name w:val="Footer"/>
    <w:basedOn w:val="864"/>
    <w:link w:val="87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5" w:customStyle="1">
    <w:name w:val="Нижний колонтитул Знак"/>
    <w:basedOn w:val="867"/>
    <w:link w:val="874"/>
    <w:uiPriority w:val="99"/>
  </w:style>
  <w:style w:type="paragraph" w:styleId="876">
    <w:name w:val="Body Text"/>
    <w:basedOn w:val="864"/>
    <w:link w:val="877"/>
    <w:pPr>
      <w:spacing w:after="120" w:line="240" w:lineRule="auto"/>
    </w:pPr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styleId="877" w:customStyle="1">
    <w:name w:val="Основной текст Знак"/>
    <w:basedOn w:val="867"/>
    <w:link w:val="876"/>
    <w:rPr>
      <w:rFonts w:ascii="Times New Roman" w:hAnsi="Times New Roman" w:eastAsia="Times New Roman" w:cs="Times New Roman"/>
      <w:sz w:val="28"/>
      <w:szCs w:val="28"/>
      <w:lang w:eastAsia="ar-SA"/>
    </w:rPr>
  </w:style>
  <w:style w:type="paragraph" w:styleId="878" w:customStyle="1">
    <w:name w:val="Стиль4"/>
    <w:basedOn w:val="864"/>
    <w:pPr>
      <w:ind w:firstLine="851"/>
      <w:jc w:val="both"/>
      <w:spacing w:after="0" w:line="240" w:lineRule="auto"/>
    </w:pPr>
    <w:rPr>
      <w:rFonts w:ascii="Courier New" w:hAnsi="Courier New" w:eastAsia="Times New Roman" w:cs="Times New Roman"/>
      <w:sz w:val="28"/>
      <w:szCs w:val="20"/>
      <w:lang w:eastAsia="ru-RU"/>
    </w:rPr>
  </w:style>
  <w:style w:type="paragraph" w:styleId="879">
    <w:name w:val="List Paragraph"/>
    <w:basedOn w:val="864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80" w:customStyle="1">
    <w:name w:val="Font Style12"/>
    <w:uiPriority w:val="99"/>
    <w:rPr>
      <w:rFonts w:ascii="Times New Roman" w:hAnsi="Times New Roman" w:cs="Times New Roman"/>
      <w:sz w:val="26"/>
      <w:szCs w:val="26"/>
    </w:rPr>
  </w:style>
  <w:style w:type="character" w:styleId="881" w:customStyle="1">
    <w:name w:val="Font Style48"/>
    <w:uiPriority w:val="99"/>
    <w:rPr>
      <w:rFonts w:ascii="Times New Roman" w:hAnsi="Times New Roman" w:cs="Times New Roman"/>
      <w:sz w:val="26"/>
      <w:szCs w:val="26"/>
    </w:rPr>
  </w:style>
  <w:style w:type="character" w:styleId="882" w:customStyle="1">
    <w:name w:val="Font Style68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883" w:customStyle="1">
    <w:name w:val="Font Style77"/>
    <w:uiPriority w:val="99"/>
    <w:rPr>
      <w:rFonts w:ascii="Times New Roman" w:hAnsi="Times New Roman" w:cs="Times New Roman"/>
      <w:sz w:val="28"/>
      <w:szCs w:val="28"/>
    </w:rPr>
  </w:style>
  <w:style w:type="character" w:styleId="884" w:customStyle="1">
    <w:name w:val="Font Style75"/>
    <w:uiPriority w:val="99"/>
    <w:rPr>
      <w:rFonts w:ascii="Times New Roman" w:hAnsi="Times New Roman" w:cs="Times New Roman"/>
      <w:sz w:val="26"/>
      <w:szCs w:val="26"/>
    </w:rPr>
  </w:style>
  <w:style w:type="paragraph" w:styleId="885">
    <w:name w:val="No Spacing"/>
    <w:uiPriority w:val="1"/>
    <w:qFormat/>
    <w:pPr>
      <w:spacing w:after="0" w:line="240" w:lineRule="auto"/>
    </w:pPr>
  </w:style>
  <w:style w:type="character" w:styleId="886" w:customStyle="1">
    <w:name w:val="Заголовок 1 Знак"/>
    <w:basedOn w:val="867"/>
    <w:link w:val="865"/>
    <w:rPr>
      <w:rFonts w:ascii="Arial" w:hAnsi="Arial" w:eastAsia="Times New Roman" w:cs="Times New Roman"/>
      <w:b/>
      <w:bCs/>
      <w:sz w:val="34"/>
      <w:szCs w:val="34"/>
      <w:shd w:val="clear" w:color="auto" w:fill="ffffff"/>
      <w:lang w:eastAsia="ru-RU"/>
    </w:rPr>
  </w:style>
  <w:style w:type="character" w:styleId="887" w:customStyle="1">
    <w:name w:val="Заголовок 5 Знак"/>
    <w:basedOn w:val="867"/>
    <w:link w:val="866"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888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501480&amp;date=27.08.202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C7016-02DD-46FC-B357-47BD6A65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kuklina.es@komitet.localhost</cp:lastModifiedBy>
  <cp:revision>139</cp:revision>
  <dcterms:created xsi:type="dcterms:W3CDTF">2022-02-18T05:56:00Z</dcterms:created>
  <dcterms:modified xsi:type="dcterms:W3CDTF">2026-02-02T06:17:21Z</dcterms:modified>
</cp:coreProperties>
</file>