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ОСНОВНЫЕ </w:t>
      </w:r>
      <w:r>
        <w:rPr>
          <w:rFonts w:ascii="Times New Roman" w:hAnsi="Times New Roman"/>
          <w:b w:val="1"/>
          <w:sz w:val="28"/>
        </w:rPr>
        <w:t>ИЗМЕНЕНИЯ В РОССИЙСКОМ ЗАКОНОДАТЕЛЬСТВЕ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ЗА ПЕРИОД С </w:t>
      </w:r>
      <w:r>
        <w:rPr>
          <w:rFonts w:ascii="Times New Roman" w:hAnsi="Times New Roman"/>
          <w:b w:val="1"/>
          <w:sz w:val="28"/>
        </w:rPr>
        <w:t>12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01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ПО </w:t>
      </w:r>
      <w:r>
        <w:rPr>
          <w:rFonts w:ascii="Times New Roman" w:hAnsi="Times New Roman"/>
          <w:b w:val="1"/>
          <w:sz w:val="28"/>
        </w:rPr>
        <w:t>22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01</w:t>
      </w:r>
      <w:r>
        <w:rPr>
          <w:rFonts w:ascii="Times New Roman" w:hAnsi="Times New Roman"/>
          <w:b w:val="1"/>
          <w:sz w:val="28"/>
        </w:rPr>
        <w:t>.202</w:t>
      </w:r>
      <w:r>
        <w:rPr>
          <w:rFonts w:ascii="Times New Roman" w:hAnsi="Times New Roman"/>
          <w:b w:val="1"/>
          <w:sz w:val="28"/>
        </w:rPr>
        <w:t>6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14:paraId="07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 соответствующими Конституции признаны положения НК РФ, допускающие произвольное решение вопроса об определении облагаемого НДФЛ дохода по договору мены объектов недвижимого имущества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0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Конституционного Суда РФ от 15.01.2026 N 1-П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"По делу о проверке конституционности пункта 2 статьи 214.10 Налогового кодекса Российской Федерации и пункта 2 статьи 567 Гражданского кодекса Российской Федерации в связи с жалобой гражданки Селюковой Любови Александровны" </w:t>
            </w:r>
          </w:p>
        </w:tc>
      </w:tr>
    </w:tbl>
    <w:p w14:paraId="0A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материалам дела принадлежащий заявительнице земельный участок она обменяла по договору мены на земельный участок той же категории с меньшей кадастровой стоимостью. По условиям договора участки признавались равноценными, обмен производился без каких-либо доплат. </w:t>
      </w:r>
    </w:p>
    <w:p w14:paraId="0B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Налоговый орган привлек заявительницу к налоговой ответственности с начислением недоимки по НДФЛ. При этом доход заявительницы на основании пункта 2 статьи 214.10 НК РФ был определен исходя из кадастровой стоимости отчужденного земельного участка, умноженной на понижающий коэффициент 0,7. </w:t>
      </w:r>
    </w:p>
    <w:p w14:paraId="0C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КС РФ указал, в частности, что как таковое приобретение налогоплательщиком недвижимого имущества по договору мены не свидетельствует безусловно о получении им экономической выгоды от сделки. </w:t>
      </w:r>
    </w:p>
    <w:p w14:paraId="0D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Налоговые обязательства при совершении указанных сделок без достаточных оснований определяются по правилам налогообложения дохода от сделок купли-продажи, т.е. в соответствии с пунктом 2 статьи 214.10 НК РФ во взаимосвязи с пунктом 2 статьи 567 ГК РФ. Вследствие этого налогоплательщики оказываются вынужденными уплачивать подоходный налог, исчисленный, по сути, исходя из их имущественных потерь. </w:t>
      </w:r>
    </w:p>
    <w:p w14:paraId="0E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КС РФ отметил, что не могут игнорироваться содержащиеся в статье 41 НК РФ положения, позволяющие в случае опровержения равноценности (эквивалентности) совершенной мены установить подлежащую налогообложению экономическую выгоду налогоплательщика с учетом кадастровой стоимости приобретенного им недвижимого имущества и ее превышения над кадастровой стоимостью имущества отчужденного. </w:t>
      </w:r>
    </w:p>
    <w:p w14:paraId="0F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имеющейся правовой неопределенностью федеральному законодателю надлежит внести в НК РФ вытекающие из настоящего Постановления изменения в части правового регулирования обложения НДФЛ полученных по договору мены недвижимого имущества доходов физических лиц, не осуществляющих предпринимательскую деятельность. </w:t>
      </w:r>
    </w:p>
    <w:p w14:paraId="10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Конституционный Суд подтвердил право лиц, получивших (приобретших) цифровую валюту способами, не связанными с ее майнингом, на судебную защиту имущественных требований, вытекающих из законного обладания цифровой валютой и ее законного использования в обороте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1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 Конституционного Суда РФ от 20.01.2026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2-П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"По делу о проверке конституционности части 6 статьи 14 Федерального закона "О цифровых финансовых активах, цифровой валюте и о внесении изменений в отдельные законодательные акты Российской Федерации" в связи с жалобой гражданина Тимченко Дмитрия Игоревича" </w:t>
            </w:r>
          </w:p>
        </w:tc>
      </w:tr>
    </w:tbl>
    <w:p w14:paraId="1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 6 статьи 14 Федерального закона "О цифровых финансовых активах, цифровой валюте и о внесении изменений в отдельные законодательные акты Российской Федерации" признана: </w:t>
      </w:r>
    </w:p>
    <w:p w14:paraId="15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не противоречащей Конституции РФ, поскольку предъявляемое ею условие информирования о фактах обладания цифровой валютой и (или) совершения с ней гражданско-правовых сделок и (или) операций в установленном порядке не нарушает конституционного права лиц, осуществляющих майнинг цифровой валюты, на судебную защиту имущественных прав, связанных с обладанием цифровой валютой, полученной (приобретенной) путем ее майнинга и используемой на законных основаниях; </w:t>
      </w:r>
    </w:p>
    <w:p w14:paraId="16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не соответствующей Конституции РФ в той мере, в какой она в системе действующего правового регулирования препятствует судебной защите имущественных требований, вытекающих из законного обладания цифровой валютой и ее законного использования в обороте и заявленных лицами, получившими (приобретшими) цифровую валюту способами, не связанными с ее майнингом. </w:t>
      </w:r>
    </w:p>
    <w:p w14:paraId="17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Федеральному законодателю надлежит внести в действующее правовое регулирование необходимые изменения. </w:t>
      </w:r>
    </w:p>
    <w:p w14:paraId="18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Впредь до внесения изменений, вытекающих из настоящего Постановления, действующее правовое регулирование не может считаться препятствующим судебной защите имущественных требований, вытекающих из законного обладания цифровой валютой и ее законного использования в обороте и заявленных лицами, получившими (приобретшими) указанную цифровую валюту способами, не связанными с ее майнингом, если ими в суд будут представлены сведения, подтверждающие, что цифровая валюта, относительно которой возникло требование, была получена и использовалась на допустимых законом основаниях. </w:t>
      </w:r>
    </w:p>
    <w:p w14:paraId="19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Минюстом установлены особенности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1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Минюста России от 19.01.2026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"Об организации исполнения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которым применена отсрочка отбывания наказания, условно осужденных"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Зарегистрировано в Минюсте России 20.01.2026 N 84974. </w:t>
            </w:r>
          </w:p>
        </w:tc>
      </w:tr>
    </w:tbl>
    <w:p w14:paraId="1D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утверждены: </w:t>
      </w:r>
    </w:p>
    <w:p w14:paraId="1E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ведения уголовно-исполнительными инспекциями учета осужденных к обязательным работам, разъяснения им порядка и условий отбывания наказания, согласования с органами местного самоуправления перечня объектов, на которых осужденные отбывают обязательные работы, контроля поведения осужденных, ведения суммарного учета отработанного ими времени; </w:t>
      </w:r>
    </w:p>
    <w:p w14:paraId="1F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ведения уголовно-исполнительными инспекциями учета осужденных к наказанию в виде лишения права занимать определенные должности или заниматься определенной деятельностью, контроля соблюдения осужденными предусмотренного приговором суда запрета, проверки исполнения требований приговора администрацией организаций, в которых работают осужденные, а также органами, правомочными аннулировать разрешение на занятие определенной деятельностью, запрещенной осужденным, организации проведения с осужденными воспитательной работы; </w:t>
      </w:r>
    </w:p>
    <w:p w14:paraId="20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ведения уголовно-исполнительными инспекциями учета осужденных к исправительным работам, разъяснения порядка и условий отбывания наказания, контроля соблюдения условий отбывания наказания осужденными к исправительным работам и исполнения требований приговора администрацией организаций, в которых они работают, проведения с осужденными к исправительным работам воспитательной работы, осуществления контроля поведения осужденных к исправительным работам с участием сотрудников полиции, направления осужденных в органы службы занятости для трудоустройства, принятия решения о приводе осужденных, не являющихся по вызову или на регистрацию без уважительных причин, проведения первоначальных мероприятий по розыску осужденных к исправительным работам, подготовки и передачи материалов об осужденных, местонахождение которых неизвестно; </w:t>
      </w:r>
    </w:p>
    <w:p w14:paraId="21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осуществления уголовно-исполнительными инспекциями постановки на учет осужденных, к которым применена отсрочка отбывания наказания в соответствии с частью первой статьи 82 УК РФ, контроля за их поведением; </w:t>
      </w:r>
    </w:p>
    <w:p w14:paraId="22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осуществления уголовно-исполнительными инспекциями контроля за поведением условно осужденных в течение испытательного срока. 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приказ вступает в силу с 28 января 2026 года. Ряд актов Минюста, регламентирующих аналогичные правоотношения, признается утратившим силу. 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14:paraId="25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Актуализирован Порядок осуществления надзора за отбыванием наказания осужденными к принудительным работам, в том числе за осужденными, работающими у индивидуальных предпринимателей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2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7" name="Picture 7"/>
                  <a:graphic>
                    <a:graphicData uri="http://schemas.openxmlformats.org/drawingml/2006/picture">
                      <pic:pic>
                        <pic:nvPicPr>
                          <pic:cNvPr hidden="false" id="8" name="Picture 8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Минюста России от 13.01.2026 N 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"О внесении изменений в приказ Минюста России от 20.09.2023 N 287 "Об утверждении Порядка осуществления надзора за отбыванием наказания осужденными к принудительным работам, в том числе за осужденными, работающими у индивидуальных предпринимателей"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Зарегистрировано в Минюсте России 16.01.2026 N 84956. </w:t>
            </w:r>
          </w:p>
        </w:tc>
      </w:tr>
    </w:tbl>
    <w:p w14:paraId="28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приведен в соответствие с распоряжением Правительства РФ от 21.05.2025 N 1263-р. </w:t>
      </w:r>
    </w:p>
    <w:p w14:paraId="29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b w:val="1"/>
          <w:sz w:val="28"/>
        </w:rPr>
      </w:pPr>
    </w:p>
    <w:p w14:paraId="2A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Уточнены порядок включения в страховой стаж периодов ухода за детьми до 1,5 лет, а также правила исчисления "сельского" стажа, дающего право на повышение фиксированной выплаты к страховой пенсии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2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9" name="Picture 9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РФ от 19.01.2026 N 11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"О внесении изменений в некоторые акты Правительства Российской Федерации" </w:t>
            </w:r>
          </w:p>
        </w:tc>
      </w:tr>
    </w:tbl>
    <w:p w14:paraId="2D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внесенным поправкам в страховой стаж одному из родителей засчитываются периоды ухода за каждым ребенком до 1,5 лет, без верхнего ограничения, предусмотренного ранее (не более 6 лет в общей сложности). Кроме того, в случае многоплодной беременности периоды ухода одного из родителей за каждым ребенком до 1,5 лет теперь должны суммироваться с учетом их фактической продолжительности. </w:t>
      </w:r>
    </w:p>
    <w:p w14:paraId="2E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внесены уточнения в правила исчисления периодов работы в сельском хозяйстве, дающей право на надбавку к фиксированной выплате при назначении пенсии (исключено условие о том, что надбавка устанавливается только на период проживания в сельской местности, а также исключено ограничение "не более 6 лет" в части периодов ухода за детьми). </w:t>
      </w:r>
    </w:p>
    <w:p w14:paraId="2F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постановления распространяется на правоотношения, возникшие с 1 января 2026 г. </w:t>
      </w: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14:paraId="31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Внесены уточнения в перечень случаев, при которых для строительства, реконструкции объекта капитального строительства не требуется получение разрешения на строительство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3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11" name="Picture 11"/>
                  <a:graphic>
                    <a:graphicData uri="http://schemas.openxmlformats.org/drawingml/2006/picture">
                      <pic:pic>
                        <pic:nvPicPr>
                          <pic:cNvPr hidden="false" id="12" name="Picture 1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РФ от 19.01.2026 N 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"О внесении изменений в постановление Правительства Российской Федерации от 12 ноября 2020 г. N 1816" </w:t>
            </w:r>
          </w:p>
        </w:tc>
      </w:tr>
    </w:tbl>
    <w:p w14:paraId="3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получение разрешения на строительство не требуется при строительстве, реконструкции в числе прочего: </w:t>
      </w:r>
    </w:p>
    <w:p w14:paraId="35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линейных объектов, предназначенных для транспортировки жидких углеводородов,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предусмотренное проектной документацией общее количество горючих жидкостей, которые могут находиться в таких линейных объектах, составляет менее 200 тонн, вне зависимости от класса опасности опасного производственного объекта, к которому впоследствии будут подключаться линейные объекты, а также линейных объектов, за исключением указанных,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такие объекты не являются особо опасными, технически сложными и уникальными объектами. </w:t>
      </w:r>
    </w:p>
    <w:p w14:paraId="36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Опубликованы единые рекомендации по установлению систем оплаты труда работников государственных и муниципальных учреждений на 2026 год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3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13" name="Picture 13"/>
                  <a:graphic>
                    <a:graphicData uri="http://schemas.openxmlformats.org/drawingml/2006/picture">
                      <pic:pic>
                        <pic:nvPicPr>
                          <pic:cNvPr hidden="false" id="14" name="Picture 1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2026 год"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(утв. решением Российской трехсторонней комиссии по регулированию социально-трудовых отношений от 26.12.2025, протокол N 11пр) </w:t>
            </w:r>
          </w:p>
        </w:tc>
      </w:tr>
    </w:tbl>
    <w:p w14:paraId="39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Рекомендации учитываются Правительством РФ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бюджетной сферы. </w:t>
      </w:r>
    </w:p>
    <w:p w14:paraId="3A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отличия от рекомендаций на 2025 год заключаются в следующем, в частности: уточнены перечни видов выплат компенсационного и стимулирующего характера и условия их применения; введены положения о порядке осуществления выплат за наставничество; установлены особенности, касающиеся систем оплаты труда учителей, врачей, работников культуры и социальной защиты; установлены особенности системы оплаты труда работников дорожного хозяйства. 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До 1 января 2028 г. продлены особенности поступления граждан РФ на службу в следственные органы и учреждения СК России на территориях новых субъектов РФ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15" name="Picture 15"/>
                  <a:graphic>
                    <a:graphicData uri="http://schemas.openxmlformats.org/drawingml/2006/picture">
                      <pic:pic>
                        <pic:nvPicPr>
                          <pic:cNvPr hidden="false" id="16" name="Picture 16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 Президента РФ от 16.01.2026 N 17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"О внесении изменения в Указ Президента Российской Федерации от 10 июля 2023 г. N 514 "Об особенностях поступления на службу в следственные органы и учреждения Следственного комитета Российской Федерации на территориях Донецкой Народной Республики, Луганской Народной Республики, Запорожской области и Херсонской области" </w:t>
            </w:r>
          </w:p>
        </w:tc>
      </w:tr>
    </w:tbl>
    <w:p w14:paraId="3F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регулируют порядок и сроки заключения трудовых договоров, прохождения тестирования, присвоения специальных званий и прочее. </w:t>
      </w:r>
    </w:p>
    <w:p w14:paraId="4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14:paraId="41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Командующим войсками военных округов, военным комиссарам предписано обеспечить проведение с 1 января по 31 декабря 2026 г. призыва на военную службу граждан РФ в возрасте от 18 до 30 лет, не пребывающих в запасе и подлежащих призыву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4"/>
        <w:tblW w:type="auto" w:w="0"/>
        <w:jc w:val="left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0"/>
        <w:gridCol w:w="9521"/>
      </w:tblGrid>
      <w:tr>
        <w:tc>
          <w:tcPr>
            <w:tcW w:type="dxa" w:w="400"/>
            <w:tcMar>
              <w:top w:type="dxa" w:w="0"/>
              <w:left w:type="dxa" w:w="0"/>
              <w:bottom w:type="dxa" w:w="0"/>
              <w:right w:type="dxa" w:w="150"/>
            </w:tcMar>
            <w:vAlign w:val="top"/>
          </w:tcPr>
          <w:p w14:paraId="4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docPr hidden="false" id="17" name="Picture 17"/>
                  <a:graphic>
                    <a:graphicData uri="http://schemas.openxmlformats.org/drawingml/2006/picture">
                      <pic:pic>
                        <pic:nvPicPr>
                          <pic:cNvPr hidden="false" id="18" name="Picture 18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21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Министра обороны РФ от 29.12.2025 N 888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"О призыве в 2026 году граждан Российской Федерации на военную службу и об увольнении с военной службы граждан, проходящих военную службу по призыву" </w:t>
            </w:r>
          </w:p>
        </w:tc>
      </w:tr>
    </w:tbl>
    <w:p w14:paraId="4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будет осуществляться увольнение с военной службы из Вооруженных Сил РФ солдат, матросов, сержантов и старшин, срок военной службы по призыву которых истек. </w:t>
      </w: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  </w:t>
      </w:r>
    </w:p>
    <w:sectPr>
      <w:headerReference r:id="rId1" w:type="default"/>
      <w:pgSz w:h="16838" w:orient="portrait" w:w="11906"/>
      <w:pgMar w:bottom="1134" w:footer="0" w:gutter="0" w:header="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line="259" w:lineRule="auto"/>
      <w:ind w:left="0" w:right="0"/>
      <w:jc w:val="left"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2_ch" w:type="character">
    <w:name w:val="footer"/>
    <w:basedOn w:val="Style_5_ch"/>
    <w:link w:val="Style_12"/>
  </w:style>
  <w:style w:styleId="Style_2" w:type="paragraph">
    <w:name w:val="ConsPlusNormal"/>
    <w:link w:val="Style_2_ch"/>
    <w:pPr>
      <w:widowControl w:val="0"/>
      <w:ind w:left="0" w:right="0"/>
      <w:jc w:val="left"/>
    </w:pPr>
    <w:rPr>
      <w:sz w:val="24"/>
    </w:rPr>
  </w:style>
  <w:style w:styleId="Style_2_ch" w:type="character">
    <w:name w:val="ConsPlusNormal"/>
    <w:link w:val="Style_2"/>
    <w:rPr>
      <w:sz w:val="24"/>
    </w:rPr>
  </w:style>
  <w:style w:styleId="Style_3" w:type="paragraph">
    <w:name w:val="Normal (Web)"/>
    <w:basedOn w:val="Style_5"/>
    <w:link w:val="Style_3_ch"/>
    <w:pPr>
      <w:widowControl w:val="1"/>
      <w:spacing w:afterAutospacing="on" w:beforeAutospacing="on" w:line="240" w:lineRule="auto"/>
      <w:ind/>
      <w:jc w:val="left"/>
    </w:pPr>
    <w:rPr>
      <w:rFonts w:ascii="Times New Roman" w:hAnsi="Times New Roman"/>
      <w:sz w:val="24"/>
    </w:rPr>
  </w:style>
  <w:style w:styleId="Style_3_ch" w:type="character">
    <w:name w:val="Normal (Web)"/>
    <w:basedOn w:val="Style_5_ch"/>
    <w:link w:val="Style_3"/>
    <w:rPr>
      <w:rFonts w:ascii="Times New Roman" w:hAnsi="Times New Roman"/>
      <w:sz w:val="24"/>
    </w:rPr>
  </w:style>
  <w:style w:styleId="Style_13" w:type="paragraph">
    <w:name w:val="ConsPlusCell"/>
    <w:link w:val="Style_13_ch"/>
    <w:pPr>
      <w:widowControl w:val="0"/>
      <w:ind w:left="0" w:right="0"/>
      <w:jc w:val="left"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5_ch"/>
    <w:link w:val="Style_1"/>
  </w:style>
  <w:style w:styleId="Style_15" w:type="paragraph">
    <w:name w:val="ConsPlusTitlePage"/>
    <w:link w:val="Style_15_ch"/>
    <w:pPr>
      <w:widowControl w:val="0"/>
      <w:ind w:left="0" w:right="0"/>
      <w:jc w:val="left"/>
    </w:pPr>
    <w:rPr>
      <w:rFonts w:ascii="Tahoma" w:hAnsi="Tahoma"/>
      <w:sz w:val="24"/>
    </w:rPr>
  </w:style>
  <w:style w:styleId="Style_15_ch" w:type="character">
    <w:name w:val="ConsPlusTitlePage"/>
    <w:link w:val="Style_15"/>
    <w:rPr>
      <w:rFonts w:ascii="Tahoma" w:hAnsi="Tahoma"/>
      <w:sz w:val="24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ConsPlusTextList"/>
    <w:link w:val="Style_20_ch"/>
    <w:pPr>
      <w:widowControl w:val="0"/>
      <w:ind w:left="0" w:right="0"/>
      <w:jc w:val="left"/>
    </w:pPr>
    <w:rPr>
      <w:sz w:val="24"/>
    </w:rPr>
  </w:style>
  <w:style w:styleId="Style_20_ch" w:type="character">
    <w:name w:val="ConsPlusTextList"/>
    <w:link w:val="Style_20"/>
    <w:rPr>
      <w:sz w:val="24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ind w:left="0" w:right="0"/>
      <w:jc w:val="left"/>
    </w:pPr>
    <w:rPr>
      <w:rFonts w:ascii="Arial" w:hAnsi="Arial"/>
      <w:b w:val="1"/>
      <w:sz w:val="24"/>
    </w:rPr>
  </w:style>
  <w:style w:styleId="Style_24_ch" w:type="character">
    <w:name w:val="ConsPlusTitle"/>
    <w:link w:val="Style_24"/>
    <w:rPr>
      <w:rFonts w:ascii="Arial" w:hAnsi="Arial"/>
      <w:b w:val="1"/>
      <w:sz w:val="24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Nonformat"/>
    <w:link w:val="Style_28_ch"/>
    <w:pPr>
      <w:widowControl w:val="0"/>
      <w:ind w:left="0" w:right="0"/>
      <w:jc w:val="left"/>
    </w:pPr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styleId="Style_29" w:type="paragraph">
    <w:name w:val="ConsPlusTextList1"/>
    <w:link w:val="Style_29_ch"/>
    <w:pPr>
      <w:widowControl w:val="0"/>
      <w:ind w:left="0" w:right="0"/>
      <w:jc w:val="left"/>
    </w:pPr>
    <w:rPr>
      <w:sz w:val="24"/>
    </w:rPr>
  </w:style>
  <w:style w:styleId="Style_29_ch" w:type="character">
    <w:name w:val="ConsPlusTextList1"/>
    <w:link w:val="Style_29"/>
    <w:rPr>
      <w:sz w:val="24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msonormal"/>
    <w:basedOn w:val="Style_5"/>
    <w:link w:val="Style_31_ch"/>
    <w:pPr>
      <w:widowControl w:val="1"/>
      <w:spacing w:afterAutospacing="on" w:beforeAutospacing="on" w:line="240" w:lineRule="auto"/>
      <w:ind/>
      <w:jc w:val="left"/>
    </w:pPr>
    <w:rPr>
      <w:rFonts w:ascii="Times New Roman" w:hAnsi="Times New Roman"/>
      <w:sz w:val="24"/>
    </w:rPr>
  </w:style>
  <w:style w:styleId="Style_31_ch" w:type="character">
    <w:name w:val="msonormal"/>
    <w:basedOn w:val="Style_5_ch"/>
    <w:link w:val="Style_31"/>
    <w:rPr>
      <w:rFonts w:ascii="Times New Roman" w:hAnsi="Times New Roman"/>
      <w:sz w:val="24"/>
    </w:rPr>
  </w:style>
  <w:style w:styleId="Style_32" w:type="paragraph">
    <w:name w:val="ConsPlusDocList"/>
    <w:link w:val="Style_32_ch"/>
    <w:pPr>
      <w:widowControl w:val="0"/>
      <w:ind w:left="0" w:right="0"/>
      <w:jc w:val="left"/>
    </w:pPr>
    <w:rPr>
      <w:rFonts w:ascii="Tahoma" w:hAnsi="Tahoma"/>
      <w:sz w:val="18"/>
    </w:rPr>
  </w:style>
  <w:style w:styleId="Style_32_ch" w:type="character">
    <w:name w:val="ConsPlusDocList"/>
    <w:link w:val="Style_32"/>
    <w:rPr>
      <w:rFonts w:ascii="Tahoma" w:hAnsi="Tahoma"/>
      <w:sz w:val="18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Balloon Text"/>
    <w:basedOn w:val="Style_5"/>
    <w:link w:val="Style_35_ch"/>
    <w:pPr>
      <w:widowControl w:val="1"/>
      <w:spacing w:after="0" w:line="240" w:lineRule="auto"/>
      <w:ind/>
      <w:jc w:val="left"/>
    </w:pPr>
    <w:rPr>
      <w:rFonts w:ascii="Segoe UI" w:hAnsi="Segoe UI"/>
      <w:sz w:val="18"/>
    </w:rPr>
  </w:style>
  <w:style w:styleId="Style_35_ch" w:type="character">
    <w:name w:val="Balloon Text"/>
    <w:basedOn w:val="Style_5_ch"/>
    <w:link w:val="Style_35"/>
    <w:rPr>
      <w:rFonts w:ascii="Segoe UI" w:hAnsi="Segoe UI"/>
      <w:sz w:val="18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JurTerm"/>
    <w:link w:val="Style_37_ch"/>
    <w:pPr>
      <w:widowControl w:val="0"/>
      <w:ind w:left="0" w:right="0"/>
      <w:jc w:val="left"/>
    </w:pPr>
    <w:rPr>
      <w:rFonts w:ascii="Tahoma" w:hAnsi="Tahoma"/>
      <w:sz w:val="26"/>
    </w:rPr>
  </w:style>
  <w:style w:styleId="Style_37_ch" w:type="character">
    <w:name w:val="ConsPlusJurTerm"/>
    <w:link w:val="Style_37"/>
    <w:rPr>
      <w:rFonts w:ascii="Tahoma" w:hAnsi="Tahoma"/>
      <w:sz w:val="26"/>
    </w:rPr>
  </w:style>
  <w:style w:default="1" w:styleId="Style_4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2026-01-26T06:32:32Z</dcterms:created>
  <dcterms:modified xsi:type="dcterms:W3CDTF">2026-01-26T06:32:32Z</dcterms:modified>
</cp:coreProperties>
</file>