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ИНФОРМАЦИОННАЯ КАРТА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участника конкурса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«Коллективный договор – основа защиты трудовых прав работн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ков»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Общие положения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7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8"/>
        <w:gridCol w:w="5390"/>
        <w:gridCol w:w="3685"/>
      </w:tblGrid>
      <w:tr>
        <w:tblPrEx/>
        <w:trPr>
          <w:cantSplit/>
        </w:trPr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390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Наименование работодателя,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Ф.И.О. индивидуального предпринимателя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390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Юридический адрес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390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Телефоны, факс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648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39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68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390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Организационно-правовая форма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390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Руководитель (должность, Ф.И.О.) – для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участника - юридического лица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390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Представитель работников (должность, Ф.И.О.)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390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Вид экономической деятельности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(код)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837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jc w:val="center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Социально - трудовые показатели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10084" w:type="dxa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0"/>
        <w:gridCol w:w="6725"/>
        <w:gridCol w:w="2759"/>
      </w:tblGrid>
      <w:tr>
        <w:tblPrEx/>
        <w:trPr>
          <w:trHeight w:val="20"/>
        </w:trPr>
        <w:tc>
          <w:tcPr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п/п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672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vertAlign w:val="subscript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Показатель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W w:w="2759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Значение показателя за отчетный год*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Фонд оплаты труда, тыс.рублей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Среднемесячная начисленная заработная плата, рублей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Среднесписочная численность работников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Численность работников квалифицированного труда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**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, человек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Численность работников с размером заработной платы равной или выше размеру минимальной заработной платы, установленной 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региональным 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соглашением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***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, человек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Рост заработной платы в отчетном году, %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Затраты на выполнение мероприятий по улучшению условий и охраны труда, тыс. рублей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(не заполняется организациями бюджетной сферы)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Затраты на производство продукции (работ, услуг), тыс. рублей 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(не заполняется организациями бюджетной сферы)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9.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Затраты на обеспечение работников и членов их семей путевками на санаторно-курортное лечение  и оздоровление, тыс. рублей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10.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Затраты на развитие персонала (повышение квалификации, профессиональная переподготовка, шефство-наставничество), тыс. рублей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11.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Затраты на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оказание материальной помощи работникам и организацию спортивных, культурно-массовых мероприятий, тыс. рублей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12.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Чис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ленность работников, на рабочем месте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 которых проведена аттестация по условиям труда или специальная оценка условий труда, человек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Численность уволенных работников в течение отчетного периода, человек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bottom w:val="single" w:color="000000" w:sz="4" w:space="0"/>
            </w:tcBorders>
            <w:tcW w:w="60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14.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72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both"/>
              <w:spacing w:line="276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8"/>
                <w:szCs w:val="28"/>
              </w:rPr>
              <w:t xml:space="preserve">Численность работников, являющихся членами профсоюзной организации, человек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59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*</w:t>
      </w: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-</w:t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год, предшествующий году проведения конкурса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**</w:t>
        <w:tab/>
        <w:t xml:space="preserve">-</w:t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 квалифицированным трудом понимается труд, требующий образования, специальных знаний, опыта и навыков работы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***</w:t>
        <w:tab/>
        <w:t xml:space="preserve">-</w:t>
        <w:tab/>
      </w:r>
      <w:r>
        <w:rPr>
          <w:rFonts w:ascii="PT Astra Serif" w:hAnsi="PT Astra Serif" w:eastAsia="PT Astra Serif" w:cs="PT Astra Serif"/>
          <w:color w:val="000000"/>
          <w:spacing w:val="-1"/>
          <w:sz w:val="28"/>
          <w:szCs w:val="28"/>
        </w:rPr>
        <w:t xml:space="preserve">С учетом районного коэффициента, установленного на территории города Барнаула (15%), минимальный размер оплаты труда для работников на 2024 год составляла 22 128 рублей.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pacing w:val="-1"/>
          <w:sz w:val="28"/>
          <w:szCs w:val="28"/>
        </w:rPr>
        <w:t xml:space="preserve">Минимальный размер заработной платы в Алтайском крае для работников внебюджетного сектора экономики составлял  21 070 рублей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paragraph" w:styleId="840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Body Text 2"/>
    <w:pPr>
      <w:contextualSpacing w:val="0"/>
      <w:ind w:left="0" w:right="-2" w:firstLine="0"/>
      <w:jc w:val="both"/>
      <w:keepLines w:val="0"/>
      <w:keepNext w:val="0"/>
      <w:pageBreakBefore w:val="0"/>
      <w:spacing w:before="0" w:beforeAutospacing="0" w:after="0" w:afterAutospacing="0" w:line="223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-4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kolmagorova.on@adm.local</cp:lastModifiedBy>
  <cp:revision>6</cp:revision>
  <dcterms:modified xsi:type="dcterms:W3CDTF">2025-09-16T03:45:35Z</dcterms:modified>
</cp:coreProperties>
</file>