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720FE8">
        <w:rPr>
          <w:b/>
          <w:sz w:val="24"/>
          <w:szCs w:val="24"/>
        </w:rPr>
        <w:t>октябрь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20FE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720FE8">
              <w:rPr>
                <w:spacing w:val="-8"/>
                <w:sz w:val="22"/>
                <w:szCs w:val="22"/>
              </w:rPr>
              <w:t>октябрь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C62DFC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9</w:t>
            </w:r>
            <w:r w:rsidR="00D13475">
              <w:rPr>
                <w:spacing w:val="-4"/>
                <w:sz w:val="24"/>
                <w:szCs w:val="24"/>
              </w:rPr>
              <w:t>6,</w:t>
            </w:r>
            <w:r w:rsidR="00720FE8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0373AC" w:rsidRPr="00C62DFC" w:rsidRDefault="00607F08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7,</w:t>
            </w:r>
            <w:r w:rsidR="00720FE8">
              <w:rPr>
                <w:spacing w:val="-4"/>
                <w:sz w:val="24"/>
                <w:szCs w:val="24"/>
              </w:rPr>
              <w:t>0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F77F0B" w:rsidRDefault="00D13475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20FE8">
              <w:rPr>
                <w:sz w:val="24"/>
                <w:szCs w:val="24"/>
              </w:rPr>
              <w:t>28,8</w:t>
            </w:r>
          </w:p>
        </w:tc>
        <w:tc>
          <w:tcPr>
            <w:tcW w:w="934" w:type="dxa"/>
          </w:tcPr>
          <w:p w:rsidR="000373AC" w:rsidRPr="00F77F0B" w:rsidRDefault="00D13475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20FE8">
              <w:rPr>
                <w:sz w:val="24"/>
                <w:szCs w:val="24"/>
              </w:rPr>
              <w:t>92,3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3,3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542506" w:rsidRDefault="0052544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8,0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4,2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8,7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3,8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</w:t>
            </w:r>
            <w:r w:rsidR="00720FE8">
              <w:rPr>
                <w:spacing w:val="-4"/>
                <w:sz w:val="24"/>
                <w:szCs w:val="24"/>
              </w:rPr>
              <w:t>10,3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1,4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720FE8">
              <w:rPr>
                <w:spacing w:val="-4"/>
                <w:sz w:val="24"/>
                <w:szCs w:val="24"/>
              </w:rPr>
              <w:t>3,3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4E21FD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4E21FD">
              <w:rPr>
                <w:i/>
                <w:sz w:val="22"/>
                <w:szCs w:val="22"/>
              </w:rPr>
              <w:t>сентябрь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0612B9" w:rsidRDefault="00DB09AC" w:rsidP="00720FE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61581C">
              <w:rPr>
                <w:spacing w:val="-4"/>
                <w:sz w:val="24"/>
                <w:szCs w:val="24"/>
              </w:rPr>
              <w:t xml:space="preserve">9 </w:t>
            </w:r>
            <w:r w:rsidR="00720FE8">
              <w:rPr>
                <w:spacing w:val="-4"/>
                <w:sz w:val="24"/>
                <w:szCs w:val="24"/>
              </w:rPr>
              <w:t>302</w:t>
            </w:r>
          </w:p>
        </w:tc>
        <w:tc>
          <w:tcPr>
            <w:tcW w:w="934" w:type="dxa"/>
            <w:vAlign w:val="center"/>
          </w:tcPr>
          <w:p w:rsidR="000373AC" w:rsidRPr="000612B9" w:rsidRDefault="00720FE8" w:rsidP="00DB09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43 093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4E21FD">
              <w:rPr>
                <w:i/>
                <w:sz w:val="22"/>
                <w:szCs w:val="22"/>
              </w:rPr>
              <w:t>сентябрь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0612B9" w:rsidRDefault="00720FE8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55 251,9</w:t>
            </w:r>
          </w:p>
        </w:tc>
        <w:tc>
          <w:tcPr>
            <w:tcW w:w="934" w:type="dxa"/>
          </w:tcPr>
          <w:p w:rsidR="000373AC" w:rsidRPr="00F77F0B" w:rsidRDefault="00720FE8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60 543,7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115E06" w:rsidRDefault="00D13475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DB09AC">
              <w:rPr>
                <w:spacing w:val="-4"/>
                <w:sz w:val="24"/>
                <w:szCs w:val="24"/>
              </w:rPr>
              <w:t>,</w:t>
            </w:r>
            <w:r w:rsidR="00720FE8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934" w:type="dxa"/>
            <w:vAlign w:val="center"/>
          </w:tcPr>
          <w:p w:rsidR="000373AC" w:rsidRPr="00115E06" w:rsidRDefault="00720FE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0,4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DB09AC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1,</w:t>
            </w:r>
            <w:r w:rsidR="00C54EAB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0373AC" w:rsidRPr="00DB09AC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</w:t>
            </w:r>
            <w:r w:rsidR="00720FE8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720FE8">
        <w:rPr>
          <w:spacing w:val="-4"/>
          <w:sz w:val="24"/>
          <w:szCs w:val="24"/>
        </w:rPr>
        <w:t>107,0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20FE8">
        <w:rPr>
          <w:spacing w:val="-4"/>
          <w:sz w:val="24"/>
          <w:szCs w:val="24"/>
        </w:rPr>
        <w:t>101</w:t>
      </w:r>
      <w:r w:rsidR="00862A97" w:rsidRPr="00862A97">
        <w:rPr>
          <w:spacing w:val="-4"/>
          <w:sz w:val="24"/>
          <w:szCs w:val="24"/>
        </w:rPr>
        <w:t>,</w:t>
      </w:r>
      <w:r w:rsidR="00720FE8">
        <w:rPr>
          <w:spacing w:val="-4"/>
          <w:sz w:val="24"/>
          <w:szCs w:val="24"/>
        </w:rPr>
        <w:t>4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720FE8">
        <w:rPr>
          <w:spacing w:val="-4"/>
          <w:sz w:val="24"/>
          <w:szCs w:val="24"/>
        </w:rPr>
        <w:t>105,0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720FE8">
        <w:rPr>
          <w:spacing w:val="-4"/>
          <w:sz w:val="24"/>
          <w:szCs w:val="24"/>
        </w:rPr>
        <w:t>105,9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720FE8">
        <w:rPr>
          <w:spacing w:val="-4"/>
          <w:sz w:val="24"/>
          <w:szCs w:val="24"/>
        </w:rPr>
        <w:t>108,0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720FE8">
        <w:rPr>
          <w:spacing w:val="-4"/>
          <w:sz w:val="24"/>
          <w:szCs w:val="24"/>
        </w:rPr>
        <w:t>135,2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  <w:r w:rsidR="005D7657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480175" cy="79697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Pr="00DB27B0" w:rsidRDefault="000707B8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BE28C1">
              <w:rPr>
                <w:spacing w:val="-4"/>
              </w:rPr>
              <w:t>рочие готовые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6</w:t>
            </w:r>
            <w:r w:rsidR="009F4CFF">
              <w:rPr>
                <w:spacing w:val="-4"/>
              </w:rPr>
              <w:t>2,1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9F4CF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152,5</w:t>
            </w:r>
          </w:p>
        </w:tc>
      </w:tr>
      <w:tr w:rsidR="009F4CFF" w:rsidTr="009F4CFF">
        <w:trPr>
          <w:trHeight w:val="70"/>
        </w:trPr>
        <w:tc>
          <w:tcPr>
            <w:tcW w:w="6912" w:type="dxa"/>
          </w:tcPr>
          <w:p w:rsidR="009F4CFF" w:rsidRDefault="009F4CFF" w:rsidP="009F4CFF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9F4CFF" w:rsidRDefault="009F4CFF" w:rsidP="009F4CFF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128,6</w:t>
            </w:r>
          </w:p>
        </w:tc>
      </w:tr>
      <w:tr w:rsidR="000707B8" w:rsidTr="005F6B03">
        <w:tc>
          <w:tcPr>
            <w:tcW w:w="6912" w:type="dxa"/>
          </w:tcPr>
          <w:p w:rsidR="000707B8" w:rsidRDefault="009F4CFF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0707B8" w:rsidRDefault="009F4CFF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127,8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9F4CFF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CF373C">
              <w:rPr>
                <w:spacing w:val="-4"/>
              </w:rPr>
              <w:t>6,</w:t>
            </w:r>
            <w:r w:rsidR="009F4CFF">
              <w:rPr>
                <w:spacing w:val="-4"/>
              </w:rPr>
              <w:t>0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</w:t>
            </w:r>
            <w:r w:rsidR="00BE28C1">
              <w:rPr>
                <w:spacing w:val="-4"/>
              </w:rPr>
              <w:t>втотранспортные</w:t>
            </w:r>
            <w:r w:rsidR="006967D8">
              <w:rPr>
                <w:spacing w:val="-4"/>
              </w:rPr>
              <w:t xml:space="preserve"> средств</w:t>
            </w:r>
            <w:r w:rsidR="00BE28C1">
              <w:rPr>
                <w:spacing w:val="-4"/>
              </w:rPr>
              <w:t>а</w:t>
            </w:r>
            <w:r w:rsidR="006967D8">
              <w:rPr>
                <w:spacing w:val="-4"/>
              </w:rPr>
              <w:t>, приц</w:t>
            </w:r>
            <w:r w:rsidR="00BE28C1">
              <w:rPr>
                <w:spacing w:val="-4"/>
              </w:rPr>
              <w:t>епы</w:t>
            </w:r>
            <w:r w:rsidR="006967D8">
              <w:rPr>
                <w:spacing w:val="-4"/>
              </w:rPr>
              <w:t xml:space="preserve"> и полуприцеп</w:t>
            </w:r>
            <w:r w:rsidR="00BE28C1"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2</w:t>
            </w:r>
            <w:r w:rsidR="009F4CFF">
              <w:rPr>
                <w:spacing w:val="-4"/>
              </w:rPr>
              <w:t>2,3</w:t>
            </w:r>
          </w:p>
        </w:tc>
      </w:tr>
      <w:tr w:rsidR="000707B8" w:rsidTr="005F6B03">
        <w:tc>
          <w:tcPr>
            <w:tcW w:w="6912" w:type="dxa"/>
          </w:tcPr>
          <w:p w:rsidR="000707B8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</w:t>
            </w:r>
            <w:r w:rsidR="006967D8">
              <w:rPr>
                <w:spacing w:val="-4"/>
              </w:rPr>
              <w:t xml:space="preserve"> оборудовани</w:t>
            </w:r>
            <w:r w:rsidR="00BE28C1">
              <w:rPr>
                <w:spacing w:val="-4"/>
              </w:rPr>
              <w:t>е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20,</w:t>
            </w:r>
            <w:r w:rsidR="009F4CFF">
              <w:rPr>
                <w:spacing w:val="-4"/>
              </w:rPr>
              <w:t>9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6967D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9F4CFF">
              <w:rPr>
                <w:spacing w:val="-4"/>
              </w:rPr>
              <w:t>8,8</w:t>
            </w:r>
          </w:p>
        </w:tc>
      </w:tr>
      <w:tr w:rsidR="003645B3" w:rsidTr="005F6B03">
        <w:tc>
          <w:tcPr>
            <w:tcW w:w="6912" w:type="dxa"/>
          </w:tcPr>
          <w:p w:rsidR="003645B3" w:rsidRDefault="009F4CF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3645B3" w:rsidRDefault="009F4CF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63,3</w:t>
            </w:r>
          </w:p>
        </w:tc>
      </w:tr>
      <w:tr w:rsidR="003645B3" w:rsidTr="005F6B03">
        <w:tc>
          <w:tcPr>
            <w:tcW w:w="6912" w:type="dxa"/>
          </w:tcPr>
          <w:p w:rsidR="003645B3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3645B3" w:rsidRDefault="009F4CFF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66,7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0946E5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9F4CFF">
              <w:rPr>
                <w:spacing w:val="-4"/>
              </w:rPr>
              <w:t>0,3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9F4CFF">
              <w:rPr>
                <w:spacing w:val="-4"/>
              </w:rPr>
              <w:t>6,1</w:t>
            </w:r>
          </w:p>
        </w:tc>
      </w:tr>
      <w:tr w:rsidR="003645B3" w:rsidTr="005F6B03">
        <w:tc>
          <w:tcPr>
            <w:tcW w:w="6912" w:type="dxa"/>
          </w:tcPr>
          <w:p w:rsidR="003645B3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напитки</w:t>
            </w:r>
          </w:p>
        </w:tc>
        <w:tc>
          <w:tcPr>
            <w:tcW w:w="3509" w:type="dxa"/>
            <w:vAlign w:val="center"/>
          </w:tcPr>
          <w:p w:rsidR="003645B3" w:rsidRDefault="00CF373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="009F4CFF">
              <w:rPr>
                <w:spacing w:val="-4"/>
              </w:rPr>
              <w:t>1,3</w:t>
            </w:r>
          </w:p>
        </w:tc>
      </w:tr>
      <w:tr w:rsidR="005F6B03" w:rsidTr="005F6B03">
        <w:tc>
          <w:tcPr>
            <w:tcW w:w="6912" w:type="dxa"/>
          </w:tcPr>
          <w:p w:rsidR="005F6B03" w:rsidRDefault="00CF373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5F6B03" w:rsidRDefault="00CF373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  <w:r w:rsidR="009F4CFF">
              <w:rPr>
                <w:spacing w:val="-4"/>
              </w:rPr>
              <w:t>5,9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5F6B03" w:rsidRPr="000946E5" w:rsidRDefault="0019608B" w:rsidP="000946E5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9F4CFF">
        <w:rPr>
          <w:spacing w:val="-2"/>
          <w:sz w:val="24"/>
          <w:szCs w:val="24"/>
        </w:rPr>
        <w:t>по состоянию на 01.11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9F4CFF">
        <w:rPr>
          <w:sz w:val="24"/>
          <w:szCs w:val="24"/>
        </w:rPr>
        <w:t>14 197,6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9F4CFF">
        <w:rPr>
          <w:sz w:val="24"/>
          <w:szCs w:val="24"/>
        </w:rPr>
        <w:t>115,5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FD4884">
        <w:rPr>
          <w:sz w:val="24"/>
          <w:szCs w:val="24"/>
        </w:rPr>
        <w:t>77,0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FD4884">
        <w:rPr>
          <w:sz w:val="24"/>
          <w:szCs w:val="24"/>
        </w:rPr>
        <w:t>6 986,9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FD4884">
        <w:rPr>
          <w:spacing w:val="-2"/>
          <w:sz w:val="24"/>
          <w:szCs w:val="24"/>
        </w:rPr>
        <w:t>09,6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FD4884">
        <w:rPr>
          <w:spacing w:val="-2"/>
          <w:sz w:val="24"/>
          <w:szCs w:val="24"/>
        </w:rPr>
        <w:t>81,4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BF049A">
        <w:rPr>
          <w:bCs/>
          <w:sz w:val="24"/>
          <w:szCs w:val="24"/>
        </w:rPr>
        <w:t>1</w:t>
      </w:r>
      <w:r w:rsidR="00FD4884">
        <w:rPr>
          <w:bCs/>
          <w:sz w:val="24"/>
          <w:szCs w:val="24"/>
        </w:rPr>
        <w:t>3 312,5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FD4884">
        <w:rPr>
          <w:sz w:val="24"/>
          <w:szCs w:val="24"/>
        </w:rPr>
        <w:t>к 2020 году – 114,1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FD4884">
        <w:rPr>
          <w:sz w:val="24"/>
          <w:szCs w:val="24"/>
        </w:rPr>
        <w:t>68,3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2C50DB">
        <w:rPr>
          <w:sz w:val="24"/>
          <w:szCs w:val="24"/>
        </w:rPr>
        <w:t>289</w:t>
      </w:r>
      <w:r w:rsidR="0029628D">
        <w:rPr>
          <w:sz w:val="24"/>
          <w:szCs w:val="24"/>
        </w:rPr>
        <w:t>,</w:t>
      </w:r>
      <w:r w:rsidR="002C50DB">
        <w:rPr>
          <w:sz w:val="24"/>
          <w:szCs w:val="24"/>
        </w:rPr>
        <w:t>4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C50DB">
        <w:rPr>
          <w:sz w:val="24"/>
          <w:szCs w:val="24"/>
        </w:rPr>
        <w:t>52,4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2C50DB">
        <w:rPr>
          <w:sz w:val="24"/>
          <w:szCs w:val="24"/>
        </w:rPr>
        <w:t>01.11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2C50DB">
        <w:rPr>
          <w:sz w:val="24"/>
          <w:szCs w:val="24"/>
        </w:rPr>
        <w:t>229,1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2C50DB">
        <w:rPr>
          <w:sz w:val="24"/>
          <w:szCs w:val="24"/>
        </w:rPr>
        <w:t>43,1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2C50DB">
        <w:rPr>
          <w:sz w:val="24"/>
          <w:szCs w:val="24"/>
        </w:rPr>
        <w:t>492,3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2C50DB">
        <w:rPr>
          <w:sz w:val="24"/>
          <w:szCs w:val="24"/>
        </w:rPr>
        <w:t>66,8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2C50DB">
        <w:rPr>
          <w:sz w:val="24"/>
          <w:szCs w:val="24"/>
        </w:rPr>
        <w:t>2 258</w:t>
      </w:r>
      <w:r w:rsidRPr="008E3EE3">
        <w:rPr>
          <w:sz w:val="24"/>
          <w:szCs w:val="24"/>
        </w:rPr>
        <w:t xml:space="preserve"> заяв</w:t>
      </w:r>
      <w:r w:rsidR="002C50DB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2C50DB">
        <w:rPr>
          <w:sz w:val="24"/>
          <w:szCs w:val="24"/>
        </w:rPr>
        <w:t>5 065,6</w:t>
      </w:r>
      <w:r w:rsidR="00005509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2C50DB">
        <w:rPr>
          <w:sz w:val="24"/>
          <w:szCs w:val="24"/>
        </w:rPr>
        <w:t>октябрь</w:t>
      </w:r>
      <w:r w:rsidRPr="00B5526A">
        <w:rPr>
          <w:sz w:val="24"/>
          <w:szCs w:val="24"/>
        </w:rPr>
        <w:t xml:space="preserve"> 2020 года – </w:t>
      </w:r>
      <w:r w:rsidR="002C50DB">
        <w:rPr>
          <w:sz w:val="24"/>
          <w:szCs w:val="24"/>
        </w:rPr>
        <w:t>1 367</w:t>
      </w:r>
      <w:r w:rsidR="004B014B">
        <w:rPr>
          <w:sz w:val="24"/>
          <w:szCs w:val="24"/>
        </w:rPr>
        <w:t xml:space="preserve"> 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2C50DB">
        <w:rPr>
          <w:sz w:val="24"/>
          <w:szCs w:val="24"/>
        </w:rPr>
        <w:t>3 688,7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2C50DB">
        <w:rPr>
          <w:sz w:val="24"/>
          <w:szCs w:val="24"/>
        </w:rPr>
        <w:t>1 937</w:t>
      </w:r>
      <w:r w:rsidR="00005509">
        <w:rPr>
          <w:sz w:val="24"/>
          <w:szCs w:val="24"/>
        </w:rPr>
        <w:t xml:space="preserve"> </w:t>
      </w:r>
      <w:r w:rsidR="002C50DB">
        <w:rPr>
          <w:sz w:val="24"/>
          <w:szCs w:val="24"/>
        </w:rPr>
        <w:t>заявок</w:t>
      </w:r>
      <w:r w:rsidRPr="008E3EE3">
        <w:rPr>
          <w:sz w:val="24"/>
          <w:szCs w:val="24"/>
        </w:rPr>
        <w:t xml:space="preserve"> на сумму </w:t>
      </w:r>
      <w:r w:rsidR="002C50DB">
        <w:rPr>
          <w:sz w:val="24"/>
          <w:szCs w:val="24"/>
        </w:rPr>
        <w:t>4 165,6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2C50DB">
        <w:rPr>
          <w:sz w:val="24"/>
          <w:szCs w:val="24"/>
        </w:rPr>
        <w:t>1 647</w:t>
      </w:r>
      <w:r w:rsidRPr="008E3EE3">
        <w:rPr>
          <w:sz w:val="24"/>
          <w:szCs w:val="24"/>
        </w:rPr>
        <w:t xml:space="preserve"> контракт</w:t>
      </w:r>
      <w:r w:rsidR="002C50D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2C50DB">
        <w:rPr>
          <w:sz w:val="24"/>
          <w:szCs w:val="24"/>
        </w:rPr>
        <w:t>2 737,7</w:t>
      </w:r>
      <w:r w:rsidRPr="008E3EE3">
        <w:rPr>
          <w:sz w:val="24"/>
          <w:szCs w:val="24"/>
        </w:rPr>
        <w:t xml:space="preserve"> млн. рублей, из них заключено </w:t>
      </w:r>
      <w:r w:rsidR="002C50DB">
        <w:rPr>
          <w:sz w:val="24"/>
          <w:szCs w:val="24"/>
        </w:rPr>
        <w:t>1</w:t>
      </w:r>
      <w:r w:rsidR="00E7724C">
        <w:rPr>
          <w:sz w:val="24"/>
          <w:szCs w:val="24"/>
        </w:rPr>
        <w:t> </w:t>
      </w:r>
      <w:r w:rsidR="002C50DB">
        <w:rPr>
          <w:sz w:val="24"/>
          <w:szCs w:val="24"/>
        </w:rPr>
        <w:t>528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2C50D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E7724C">
        <w:rPr>
          <w:sz w:val="24"/>
          <w:szCs w:val="24"/>
        </w:rPr>
        <w:t>2 504,9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B62C2A">
        <w:rPr>
          <w:sz w:val="24"/>
          <w:szCs w:val="24"/>
        </w:rPr>
        <w:t xml:space="preserve">блей. Экономия составила </w:t>
      </w:r>
      <w:r w:rsidR="00B62C2A">
        <w:rPr>
          <w:sz w:val="24"/>
          <w:szCs w:val="24"/>
        </w:rPr>
        <w:br/>
      </w:r>
      <w:r w:rsidR="00E7724C">
        <w:rPr>
          <w:sz w:val="24"/>
          <w:szCs w:val="24"/>
        </w:rPr>
        <w:t>278,8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F35ED7">
        <w:rPr>
          <w:sz w:val="24"/>
          <w:szCs w:val="24"/>
        </w:rPr>
        <w:t>-сентябрь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F35ED7">
        <w:rPr>
          <w:sz w:val="25"/>
          <w:szCs w:val="25"/>
        </w:rPr>
        <w:t>4 749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-сентябрь</w:t>
      </w:r>
      <w:r w:rsidRPr="00F33A7B">
        <w:rPr>
          <w:sz w:val="24"/>
          <w:szCs w:val="24"/>
        </w:rPr>
        <w:t xml:space="preserve"> </w:t>
      </w:r>
      <w:r w:rsidR="00F35ED7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F35ED7">
        <w:rPr>
          <w:sz w:val="25"/>
          <w:szCs w:val="25"/>
        </w:rPr>
        <w:t>4 903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35ED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F35ED7">
        <w:rPr>
          <w:sz w:val="25"/>
          <w:szCs w:val="25"/>
        </w:rPr>
        <w:t>7 735</w:t>
      </w:r>
      <w:r w:rsidRPr="00F33A7B">
        <w:rPr>
          <w:sz w:val="24"/>
          <w:szCs w:val="24"/>
        </w:rPr>
        <w:t xml:space="preserve"> человек (</w:t>
      </w:r>
      <w:r w:rsidR="00F35ED7">
        <w:rPr>
          <w:sz w:val="25"/>
          <w:szCs w:val="25"/>
        </w:rPr>
        <w:t>6 327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2 986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-сентябрь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F35ED7">
        <w:rPr>
          <w:sz w:val="24"/>
          <w:szCs w:val="24"/>
        </w:rPr>
        <w:t>1 424</w:t>
      </w:r>
      <w:r w:rsidRPr="00F33A7B">
        <w:rPr>
          <w:sz w:val="24"/>
          <w:szCs w:val="24"/>
        </w:rPr>
        <w:t xml:space="preserve"> человек</w:t>
      </w:r>
      <w:r w:rsidR="00C442B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1908F8" w:rsidRPr="00CC2419" w:rsidRDefault="004B014B" w:rsidP="00CC2419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>
        <w:rPr>
          <w:bCs/>
        </w:rPr>
        <w:t>январь-</w:t>
      </w:r>
      <w:r w:rsidR="00CC2419">
        <w:rPr>
          <w:bCs/>
        </w:rPr>
        <w:t>сентябрь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CC2419">
        <w:rPr>
          <w:bCs/>
        </w:rPr>
        <w:t>13 882</w:t>
      </w:r>
      <w:r w:rsidRPr="00FC3259">
        <w:rPr>
          <w:bCs/>
        </w:rPr>
        <w:t xml:space="preserve"> человек</w:t>
      </w:r>
      <w:r w:rsidR="00693E7B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CC2419">
        <w:rPr>
          <w:bCs/>
        </w:rPr>
        <w:t>сентябрь</w:t>
      </w:r>
      <w:r>
        <w:rPr>
          <w:bCs/>
        </w:rPr>
        <w:t xml:space="preserve"> </w:t>
      </w:r>
      <w:r w:rsidR="00CC2419">
        <w:rPr>
          <w:bCs/>
        </w:rPr>
        <w:br/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1E19D0">
        <w:rPr>
          <w:bCs/>
        </w:rPr>
        <w:t>13 215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CC2419">
        <w:rPr>
          <w:bCs/>
        </w:rPr>
        <w:t>13 799</w:t>
      </w:r>
      <w:r w:rsidRPr="00FC3259">
        <w:rPr>
          <w:bCs/>
        </w:rPr>
        <w:t xml:space="preserve"> человек (</w:t>
      </w:r>
      <w:r w:rsidR="001E19D0">
        <w:rPr>
          <w:bCs/>
        </w:rPr>
        <w:t xml:space="preserve">11 252 </w:t>
      </w:r>
      <w:r w:rsidRPr="00FC3259">
        <w:rPr>
          <w:bCs/>
        </w:rPr>
        <w:t>человек</w:t>
      </w:r>
      <w:r w:rsidR="00C3002B">
        <w:rPr>
          <w:bCs/>
        </w:rPr>
        <w:t>а</w:t>
      </w:r>
      <w:r w:rsidRPr="00FC3259">
        <w:rPr>
          <w:bCs/>
        </w:rPr>
        <w:t>). Миграционн</w:t>
      </w:r>
      <w:r w:rsidR="00CC2419">
        <w:rPr>
          <w:bCs/>
        </w:rPr>
        <w:t>ый прирост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C3002B">
        <w:rPr>
          <w:bCs/>
        </w:rPr>
        <w:t>а</w:t>
      </w:r>
      <w:r w:rsidRPr="00FC3259">
        <w:rPr>
          <w:bCs/>
        </w:rPr>
        <w:t xml:space="preserve"> </w:t>
      </w:r>
      <w:r w:rsidR="00CC2419">
        <w:rPr>
          <w:bCs/>
        </w:rPr>
        <w:t>83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CC2419">
        <w:rPr>
          <w:bCs/>
        </w:rPr>
        <w:t>сентябрь</w:t>
      </w:r>
      <w:r w:rsidR="00DC714E">
        <w:rPr>
          <w:bCs/>
        </w:rPr>
        <w:t xml:space="preserve"> 2020 года прирост – </w:t>
      </w:r>
      <w:r w:rsidR="001E19D0">
        <w:rPr>
          <w:bCs/>
        </w:rPr>
        <w:t>1 963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январь-</w:t>
      </w:r>
      <w:r w:rsidR="00E7724C">
        <w:rPr>
          <w:sz w:val="24"/>
          <w:szCs w:val="24"/>
        </w:rPr>
        <w:t>сентябрь</w:t>
      </w:r>
      <w:r w:rsidR="0049263F" w:rsidRPr="001375A1">
        <w:rPr>
          <w:sz w:val="24"/>
          <w:szCs w:val="24"/>
        </w:rPr>
        <w:t xml:space="preserve"> 2021 года увеличилась на </w:t>
      </w:r>
      <w:r w:rsidR="00A84DE6">
        <w:rPr>
          <w:sz w:val="24"/>
          <w:szCs w:val="24"/>
        </w:rPr>
        <w:t>9,1</w:t>
      </w:r>
      <w:r w:rsidR="0049263F" w:rsidRPr="001375A1">
        <w:rPr>
          <w:sz w:val="24"/>
          <w:szCs w:val="24"/>
        </w:rPr>
        <w:t xml:space="preserve">% и составила </w:t>
      </w:r>
      <w:r w:rsidR="00E7724C">
        <w:rPr>
          <w:sz w:val="24"/>
          <w:szCs w:val="24"/>
        </w:rPr>
        <w:t>43 093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E7724C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январь-</w:t>
      </w:r>
      <w:r w:rsidR="00E7724C">
        <w:rPr>
          <w:sz w:val="24"/>
          <w:szCs w:val="24"/>
        </w:rPr>
        <w:t>сентябрь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7724C">
        <w:rPr>
          <w:sz w:val="24"/>
          <w:szCs w:val="24"/>
        </w:rPr>
        <w:t>39 302 рубля</w:t>
      </w:r>
      <w:r w:rsidR="007E355F">
        <w:rPr>
          <w:sz w:val="24"/>
          <w:szCs w:val="24"/>
        </w:rPr>
        <w:t xml:space="preserve">, увеличилась на </w:t>
      </w:r>
      <w:r w:rsidR="00F82455">
        <w:rPr>
          <w:sz w:val="24"/>
          <w:szCs w:val="24"/>
        </w:rPr>
        <w:t>8,5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62 103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54 041</w:t>
            </w:r>
          </w:p>
        </w:tc>
      </w:tr>
      <w:tr w:rsidR="00CB6E78" w:rsidTr="000176B2">
        <w:tc>
          <w:tcPr>
            <w:tcW w:w="9039" w:type="dxa"/>
          </w:tcPr>
          <w:p w:rsidR="00CB6E78" w:rsidRDefault="00D9762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52 670</w:t>
            </w:r>
          </w:p>
        </w:tc>
      </w:tr>
      <w:tr w:rsidR="00CB6E78" w:rsidTr="000176B2">
        <w:tc>
          <w:tcPr>
            <w:tcW w:w="9039" w:type="dxa"/>
          </w:tcPr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военной безопасности; </w:t>
            </w:r>
          </w:p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51 631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F3056D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47 904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F3056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127,8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3056D">
              <w:rPr>
                <w:sz w:val="24"/>
                <w:szCs w:val="24"/>
              </w:rPr>
              <w:t>2,2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3056D">
              <w:rPr>
                <w:sz w:val="24"/>
                <w:szCs w:val="24"/>
              </w:rPr>
              <w:t>17,5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брабатывающее</w:t>
            </w:r>
            <w:r w:rsidR="00B53D16" w:rsidRPr="00F55BCB">
              <w:rPr>
                <w:sz w:val="24"/>
                <w:szCs w:val="24"/>
              </w:rPr>
              <w:t xml:space="preserve"> производств</w:t>
            </w:r>
            <w:r w:rsidR="00B53D16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056D">
              <w:rPr>
                <w:sz w:val="24"/>
                <w:szCs w:val="24"/>
              </w:rPr>
              <w:t>6,1</w:t>
            </w:r>
          </w:p>
        </w:tc>
      </w:tr>
      <w:tr w:rsidR="00F82455" w:rsidTr="000176B2">
        <w:tc>
          <w:tcPr>
            <w:tcW w:w="9039" w:type="dxa"/>
          </w:tcPr>
          <w:p w:rsidR="00F82455" w:rsidRDefault="00F3056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BCB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ление</w:t>
            </w:r>
            <w:r w:rsidRPr="00F55BCB">
              <w:rPr>
                <w:sz w:val="24"/>
                <w:szCs w:val="24"/>
              </w:rPr>
              <w:t xml:space="preserve"> прочих видов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17" w:type="dxa"/>
            <w:vAlign w:val="center"/>
          </w:tcPr>
          <w:p w:rsidR="00F82455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F3056D">
              <w:rPr>
                <w:sz w:val="24"/>
                <w:szCs w:val="24"/>
              </w:rPr>
              <w:t>3,2</w:t>
            </w:r>
          </w:p>
        </w:tc>
      </w:tr>
      <w:tr w:rsidR="000F0CCA" w:rsidTr="000176B2">
        <w:tc>
          <w:tcPr>
            <w:tcW w:w="9039" w:type="dxa"/>
          </w:tcPr>
          <w:p w:rsidR="000F0CCA" w:rsidRDefault="00F3056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F0CCA" w:rsidRDefault="00F3056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</w:tr>
      <w:tr w:rsidR="00B53D16" w:rsidTr="000176B2">
        <w:tc>
          <w:tcPr>
            <w:tcW w:w="9039" w:type="dxa"/>
          </w:tcPr>
          <w:p w:rsidR="00B53D16" w:rsidRDefault="000F0CCA" w:rsidP="000F0CCA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B53D16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0CCA">
              <w:rPr>
                <w:sz w:val="24"/>
                <w:szCs w:val="24"/>
              </w:rPr>
              <w:t>1,</w:t>
            </w:r>
            <w:r w:rsidR="00F3056D">
              <w:rPr>
                <w:sz w:val="24"/>
                <w:szCs w:val="24"/>
              </w:rPr>
              <w:t>8</w:t>
            </w:r>
          </w:p>
        </w:tc>
      </w:tr>
      <w:tr w:rsidR="00B53D16" w:rsidTr="000176B2">
        <w:tc>
          <w:tcPr>
            <w:tcW w:w="9039" w:type="dxa"/>
          </w:tcPr>
          <w:p w:rsidR="00B53D16" w:rsidRDefault="00F8245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0CCA">
              <w:rPr>
                <w:sz w:val="24"/>
                <w:szCs w:val="24"/>
              </w:rPr>
              <w:t>1,</w:t>
            </w:r>
            <w:r w:rsidR="00F3056D">
              <w:rPr>
                <w:sz w:val="24"/>
                <w:szCs w:val="24"/>
              </w:rPr>
              <w:t>8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7724C">
        <w:rPr>
          <w:sz w:val="24"/>
          <w:szCs w:val="24"/>
        </w:rPr>
        <w:t xml:space="preserve">о данным </w:t>
      </w:r>
      <w:proofErr w:type="spellStart"/>
      <w:r w:rsidR="00E7724C">
        <w:rPr>
          <w:sz w:val="24"/>
          <w:szCs w:val="24"/>
        </w:rPr>
        <w:t>Алтайкрайстата</w:t>
      </w:r>
      <w:proofErr w:type="spellEnd"/>
      <w:r w:rsidR="00E7724C">
        <w:rPr>
          <w:sz w:val="24"/>
          <w:szCs w:val="24"/>
        </w:rPr>
        <w:t xml:space="preserve"> на 01.11</w:t>
      </w:r>
      <w:r w:rsidR="0049263F"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1E19D0">
        <w:rPr>
          <w:sz w:val="24"/>
          <w:szCs w:val="24"/>
        </w:rPr>
        <w:t>октябре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>
        <w:rPr>
          <w:sz w:val="24"/>
          <w:szCs w:val="24"/>
        </w:rPr>
        <w:t>ированы минимальные цены на 6</w:t>
      </w:r>
      <w:r w:rsidR="00B85647" w:rsidRPr="00692272">
        <w:rPr>
          <w:sz w:val="24"/>
          <w:szCs w:val="24"/>
        </w:rPr>
        <w:t xml:space="preserve"> из 24 социально значимых продуктов питания:</w:t>
      </w:r>
    </w:p>
    <w:tbl>
      <w:tblPr>
        <w:tblStyle w:val="a5"/>
        <w:tblW w:w="10485" w:type="dxa"/>
        <w:jc w:val="center"/>
        <w:tblLayout w:type="fixed"/>
        <w:tblLook w:val="04A0"/>
      </w:tblPr>
      <w:tblGrid>
        <w:gridCol w:w="2835"/>
        <w:gridCol w:w="1129"/>
        <w:gridCol w:w="1134"/>
        <w:gridCol w:w="1134"/>
        <w:gridCol w:w="1134"/>
        <w:gridCol w:w="996"/>
        <w:gridCol w:w="1131"/>
        <w:gridCol w:w="992"/>
      </w:tblGrid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F3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>-</w:t>
            </w:r>
            <w:r w:rsidRPr="006D09F3">
              <w:rPr>
                <w:sz w:val="24"/>
                <w:szCs w:val="24"/>
              </w:rPr>
              <w:t>ярск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F3">
              <w:rPr>
                <w:sz w:val="24"/>
                <w:szCs w:val="24"/>
              </w:rPr>
              <w:t>Новоси</w:t>
            </w:r>
            <w:r>
              <w:rPr>
                <w:sz w:val="24"/>
                <w:szCs w:val="24"/>
              </w:rPr>
              <w:t>-</w:t>
            </w:r>
            <w:r w:rsidRPr="006D09F3">
              <w:rPr>
                <w:sz w:val="24"/>
                <w:szCs w:val="24"/>
              </w:rPr>
              <w:t>бирск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75240" w:rsidRPr="006D09F3" w:rsidRDefault="00C75240" w:rsidP="00C75240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Томск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color w:val="000000"/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color w:val="000000"/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540,49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496,42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460,95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613,78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380,66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378,46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401,59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373,48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410,57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328,05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314,69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278,08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321,92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proofErr w:type="gramStart"/>
            <w:r w:rsidRPr="002A1CCA">
              <w:rPr>
                <w:sz w:val="20"/>
                <w:szCs w:val="20"/>
              </w:rPr>
              <w:t>Куры</w:t>
            </w:r>
            <w:proofErr w:type="gramEnd"/>
            <w:r w:rsidRPr="002A1CCA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179,43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215,92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168,22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196,01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188,23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183,81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174,82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169,62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200,32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200,17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224,20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180,76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160,63</w:t>
            </w:r>
          </w:p>
        </w:tc>
      </w:tr>
      <w:tr w:rsidR="00C75240" w:rsidRPr="006D09F3" w:rsidTr="002A1CCA">
        <w:trPr>
          <w:trHeight w:val="2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553,80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706,09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661,64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587,51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489,86</w:t>
            </w:r>
          </w:p>
        </w:tc>
      </w:tr>
      <w:tr w:rsidR="00C75240" w:rsidRPr="006D09F3" w:rsidTr="002A1CCA">
        <w:trPr>
          <w:trHeight w:val="2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145,99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132,54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145,14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132,44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126,15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145,54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>Молоко питьевое, (</w:t>
            </w:r>
            <w:proofErr w:type="gramStart"/>
            <w:r w:rsidRPr="002A1CCA">
              <w:rPr>
                <w:sz w:val="20"/>
                <w:szCs w:val="20"/>
              </w:rPr>
              <w:t>м</w:t>
            </w:r>
            <w:proofErr w:type="gramEnd"/>
            <w:r w:rsidRPr="002A1CCA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62,61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57,32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67,56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68,86</w:t>
            </w:r>
          </w:p>
        </w:tc>
      </w:tr>
      <w:tr w:rsidR="00C75240" w:rsidRPr="006D09F3" w:rsidTr="002A1CCA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80,54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78,69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74,99</w:t>
            </w:r>
          </w:p>
        </w:tc>
      </w:tr>
      <w:tr w:rsidR="00C75240" w:rsidRPr="006D09F3" w:rsidTr="002A1CCA">
        <w:trPr>
          <w:trHeight w:val="2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51,38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57,87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55,02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56,97</w:t>
            </w:r>
          </w:p>
        </w:tc>
      </w:tr>
      <w:tr w:rsidR="00C75240" w:rsidRPr="006D09F3" w:rsidTr="002A1CCA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681,73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1 012,27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874,85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963,60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665,21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734,98</w:t>
            </w:r>
          </w:p>
        </w:tc>
      </w:tr>
      <w:tr w:rsidR="00C75240" w:rsidRPr="006D09F3" w:rsidTr="002A1CCA">
        <w:trPr>
          <w:trHeight w:val="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19,12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11,99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15,21</w:t>
            </w:r>
          </w:p>
        </w:tc>
      </w:tr>
      <w:tr w:rsidR="00C75240" w:rsidRPr="00F3387A" w:rsidTr="002A1CCA">
        <w:trPr>
          <w:trHeight w:val="3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41,35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37,97</w:t>
            </w:r>
          </w:p>
        </w:tc>
      </w:tr>
      <w:tr w:rsidR="002A1CCA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lastRenderedPageBreak/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21FD">
              <w:rPr>
                <w:sz w:val="24"/>
                <w:szCs w:val="24"/>
              </w:rPr>
              <w:t>Красно-ярск</w:t>
            </w:r>
            <w:proofErr w:type="spellEnd"/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E21FD">
              <w:rPr>
                <w:sz w:val="24"/>
                <w:szCs w:val="24"/>
              </w:rPr>
              <w:t>Новоси-бирск</w:t>
            </w:r>
            <w:proofErr w:type="spellEnd"/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A1CCA" w:rsidRPr="004E21FD" w:rsidRDefault="002A1CCA" w:rsidP="00924E1D">
            <w:pPr>
              <w:jc w:val="center"/>
              <w:rPr>
                <w:sz w:val="24"/>
                <w:szCs w:val="24"/>
              </w:rPr>
            </w:pPr>
            <w:r w:rsidRPr="004E21FD">
              <w:rPr>
                <w:sz w:val="24"/>
                <w:szCs w:val="24"/>
              </w:rPr>
              <w:t>Томск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65,91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83,81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55,93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59,72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Хлеб и булочные изделия из пшеничной муки 1 и 2 сортов,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74,08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52,01</w:t>
            </w:r>
          </w:p>
        </w:tc>
      </w:tr>
      <w:tr w:rsidR="00C75240" w:rsidRPr="006D09F3" w:rsidTr="002A1CCA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91,71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92,96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77,66</w:t>
            </w:r>
          </w:p>
        </w:tc>
      </w:tr>
      <w:tr w:rsidR="00C75240" w:rsidRPr="006D09F3" w:rsidTr="002A1CCA">
        <w:trPr>
          <w:trHeight w:val="27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Пшено,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66,61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59,92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50,90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2A1CCA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2A1CCA">
              <w:rPr>
                <w:sz w:val="20"/>
                <w:szCs w:val="20"/>
              </w:rPr>
              <w:t>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100,59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100,71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100,13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101,58</w:t>
            </w:r>
          </w:p>
        </w:tc>
      </w:tr>
      <w:tr w:rsidR="00C75240" w:rsidRPr="006D09F3" w:rsidTr="002A1CCA">
        <w:trPr>
          <w:trHeight w:val="12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84,14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99,71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72,56</w:t>
            </w:r>
          </w:p>
        </w:tc>
      </w:tr>
      <w:tr w:rsidR="00C75240" w:rsidRPr="006D09F3" w:rsidTr="002A1CCA">
        <w:trPr>
          <w:trHeight w:val="2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52,53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36,23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35,85</w:t>
            </w:r>
          </w:p>
        </w:tc>
      </w:tr>
      <w:tr w:rsidR="00C75240" w:rsidRPr="006D09F3" w:rsidTr="002A1CC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36,92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30,56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31,96</w:t>
            </w:r>
          </w:p>
        </w:tc>
      </w:tr>
      <w:tr w:rsidR="00C75240" w:rsidRPr="006D09F3" w:rsidTr="002A1CCA">
        <w:trPr>
          <w:trHeight w:val="2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25,24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27,96</w:t>
            </w:r>
          </w:p>
        </w:tc>
      </w:tr>
      <w:tr w:rsidR="00C75240" w:rsidRPr="006D09F3" w:rsidTr="002A1CCA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Морковь,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59,25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48,85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33,91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42,22</w:t>
            </w:r>
          </w:p>
        </w:tc>
      </w:tr>
      <w:tr w:rsidR="00C75240" w:rsidTr="002A1CCA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240" w:rsidRPr="002A1CCA" w:rsidRDefault="00C75240" w:rsidP="00C75240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 xml:space="preserve">Яблоки, </w:t>
            </w:r>
            <w:proofErr w:type="gramStart"/>
            <w:r w:rsidRPr="002A1CCA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146,35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115,97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109,03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91,48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240" w:rsidRPr="002A1CCA" w:rsidRDefault="00C75240" w:rsidP="00C75240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120,48</w:t>
            </w:r>
          </w:p>
        </w:tc>
      </w:tr>
      <w:tr w:rsidR="00E25161" w:rsidTr="00E25161">
        <w:trPr>
          <w:trHeight w:val="197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25161" w:rsidRPr="002A1CCA" w:rsidRDefault="00E25161" w:rsidP="00C7524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E25161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161" w:rsidRPr="002A1CCA" w:rsidRDefault="00E25161" w:rsidP="00E25161">
            <w:pPr>
              <w:rPr>
                <w:sz w:val="20"/>
                <w:szCs w:val="20"/>
              </w:rPr>
            </w:pPr>
            <w:r w:rsidRPr="002A1CCA">
              <w:rPr>
                <w:sz w:val="20"/>
                <w:szCs w:val="20"/>
              </w:rPr>
              <w:t>Доска обрезная,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 w:rsidRPr="002A1CCA">
              <w:rPr>
                <w:color w:val="000000"/>
                <w:sz w:val="20"/>
                <w:szCs w:val="20"/>
              </w:rPr>
              <w:t>18 776,57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20 461,32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16 010,32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20 608,26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18 125,6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14 092,27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161" w:rsidRPr="002A1CCA" w:rsidRDefault="002A1CCA" w:rsidP="00E2516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16 381,9</w:t>
            </w:r>
          </w:p>
        </w:tc>
      </w:tr>
      <w:tr w:rsidR="002A1CCA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CCA" w:rsidRPr="002A1CCA" w:rsidRDefault="002A1CCA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A1CCA" w:rsidRP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A1CCA" w:rsidRDefault="002A1CCA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612,39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546,39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1CCA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CCA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487,56</w:t>
            </w:r>
          </w:p>
        </w:tc>
      </w:tr>
      <w:tr w:rsidR="00924E1D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Цемент тарированный, 50 кг</w:t>
            </w:r>
            <w:r w:rsidR="00945AA4"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385,34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24E1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397,74</w:t>
            </w:r>
          </w:p>
        </w:tc>
      </w:tr>
      <w:tr w:rsidR="00924E1D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E1D" w:rsidRDefault="00924E1D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702,52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736,13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E1D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719,9</w:t>
            </w:r>
          </w:p>
        </w:tc>
      </w:tr>
      <w:tr w:rsidR="00945AA4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14 757,1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16 392,29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15 855,8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16 035,59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16 353,5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15 579,44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18 254,7</w:t>
            </w:r>
          </w:p>
        </w:tc>
      </w:tr>
      <w:tr w:rsidR="00945AA4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AA4" w:rsidRDefault="00945AA4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945AA4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2 351,77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3 633,18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3 865,53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4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3 355,69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3C504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1 840,37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1 250,85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2 509,06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1 117,66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1 963,96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1 419,14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52,64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52,36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44,18</w:t>
            </w:r>
          </w:p>
        </w:tc>
      </w:tr>
      <w:tr w:rsidR="003C5045" w:rsidRPr="00645DA1" w:rsidTr="00F06D64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3C5045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3C5045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</w:t>
            </w:r>
          </w:p>
        </w:tc>
      </w:tr>
      <w:tr w:rsidR="003C5045" w:rsidRPr="00645DA1" w:rsidTr="003C5045">
        <w:trPr>
          <w:trHeight w:val="197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3C5045" w:rsidRPr="003C5045" w:rsidRDefault="003C5045" w:rsidP="00E2516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3C5045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045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на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A512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45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7,74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135,07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A512F1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A512F1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A512F1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2F1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2F1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25,53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E25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367,28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Pr="00983B06" w:rsidRDefault="00983B06" w:rsidP="00983B06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Услуги по орг. и выполнению работ по эксплуатации домов ЖК, ЖСК, ТСЖ, м</w:t>
            </w:r>
            <w:r>
              <w:rPr>
                <w:sz w:val="20"/>
                <w:szCs w:val="20"/>
                <w:vertAlign w:val="superscript"/>
              </w:rPr>
              <w:t xml:space="preserve"> 2</w:t>
            </w:r>
            <w:r>
              <w:rPr>
                <w:sz w:val="20"/>
                <w:szCs w:val="20"/>
              </w:rPr>
              <w:t>общ.пл.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17,38</w:t>
            </w:r>
          </w:p>
        </w:tc>
      </w:tr>
      <w:tr w:rsidR="00983B06" w:rsidRPr="00645DA1" w:rsidTr="00983B06">
        <w:trPr>
          <w:trHeight w:val="197"/>
          <w:jc w:val="center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Электроэнергия по объему потребления 100 </w:t>
            </w:r>
            <w:proofErr w:type="spellStart"/>
            <w:r>
              <w:rPr>
                <w:color w:val="000000"/>
                <w:sz w:val="20"/>
                <w:szCs w:val="20"/>
              </w:rPr>
              <w:t>кВт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квартирах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электроплит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4E21FD">
              <w:rPr>
                <w:color w:val="000000"/>
                <w:sz w:val="20"/>
                <w:szCs w:val="20"/>
                <w:shd w:val="clear" w:color="auto" w:fill="92D05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</w:tr>
      <w:tr w:rsidR="00983B06" w:rsidRPr="00645DA1" w:rsidTr="004E21FD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B06" w:rsidRDefault="00983B06" w:rsidP="00983B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электроплитами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983B06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B06" w:rsidRDefault="004E21FD" w:rsidP="00E2516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480367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480367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D0" w:rsidRDefault="001E19D0" w:rsidP="0091736E">
      <w:r>
        <w:separator/>
      </w:r>
    </w:p>
  </w:endnote>
  <w:endnote w:type="continuationSeparator" w:id="0">
    <w:p w:rsidR="001E19D0" w:rsidRDefault="001E19D0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D0" w:rsidRDefault="001E19D0" w:rsidP="0091736E">
      <w:r>
        <w:separator/>
      </w:r>
    </w:p>
  </w:footnote>
  <w:footnote w:type="continuationSeparator" w:id="0">
    <w:p w:rsidR="001E19D0" w:rsidRDefault="001E19D0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D0" w:rsidRPr="00C00C70" w:rsidRDefault="001E19D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1216ED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37217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3E7B"/>
    <w:rsid w:val="00694CC2"/>
    <w:rsid w:val="00695566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2780"/>
    <w:rsid w:val="00723E14"/>
    <w:rsid w:val="00723E75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4E1D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20BF"/>
    <w:rsid w:val="00A42A70"/>
    <w:rsid w:val="00A4462D"/>
    <w:rsid w:val="00A447C4"/>
    <w:rsid w:val="00A4597F"/>
    <w:rsid w:val="00A4700B"/>
    <w:rsid w:val="00A47CBE"/>
    <w:rsid w:val="00A47F9A"/>
    <w:rsid w:val="00A512F1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2D55"/>
    <w:rsid w:val="00C53B80"/>
    <w:rsid w:val="00C54738"/>
    <w:rsid w:val="00C547E5"/>
    <w:rsid w:val="00C54EAB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2419"/>
    <w:rsid w:val="00CC3162"/>
    <w:rsid w:val="00CC341E"/>
    <w:rsid w:val="00CC416C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632B"/>
    <w:rsid w:val="00D16C26"/>
    <w:rsid w:val="00D20F40"/>
    <w:rsid w:val="00D2178C"/>
    <w:rsid w:val="00D218AE"/>
    <w:rsid w:val="00D21BBA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455"/>
    <w:rsid w:val="00F35803"/>
    <w:rsid w:val="00F35823"/>
    <w:rsid w:val="00F35ED7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566859691292E-2"/>
                  <c:y val="0.11154664632310135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7.8392944634982867E-3"/>
                  <c:y val="6.374094075605789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6921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233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55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07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076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295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146E-3"/>
                  <c:y val="6.37409407560578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  <c:pt idx="9">
                  <c:v>96.6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9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1758941695247431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55E-2"/>
                  <c:y val="-3.187047037802903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2989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7638412542871143E-2"/>
                  <c:y val="6.37409407560578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  <c:pt idx="9">
                  <c:v>янв-окт.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  <c:pt idx="9" formatCode="0.0">
                  <c:v>107</c:v>
                </c:pt>
              </c:numCache>
            </c:numRef>
          </c:val>
        </c:ser>
        <c:dLbls>
          <c:showVal val="1"/>
        </c:dLbls>
        <c:axId val="120238080"/>
        <c:axId val="120239616"/>
      </c:barChart>
      <c:catAx>
        <c:axId val="1202380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0239616"/>
        <c:crosses val="autoZero"/>
        <c:auto val="1"/>
        <c:lblAlgn val="ctr"/>
        <c:lblOffset val="100"/>
      </c:catAx>
      <c:valAx>
        <c:axId val="120239616"/>
        <c:scaling>
          <c:orientation val="minMax"/>
        </c:scaling>
        <c:delete val="1"/>
        <c:axPos val="l"/>
        <c:numFmt formatCode="General" sourceLinked="1"/>
        <c:tickLblPos val="none"/>
        <c:crossAx val="120238080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янв.-октябрь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6016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4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72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98.6</c:v>
                </c:pt>
                <c:pt idx="1">
                  <c:v>104.7</c:v>
                </c:pt>
                <c:pt idx="2" formatCode="0.0">
                  <c:v>104.1</c:v>
                </c:pt>
                <c:pt idx="3" formatCode="0.0">
                  <c:v>81</c:v>
                </c:pt>
                <c:pt idx="4">
                  <c:v>94.9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янв.-октябрь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04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205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25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04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97</c:v>
                </c:pt>
                <c:pt idx="1">
                  <c:v>106.5</c:v>
                </c:pt>
                <c:pt idx="2">
                  <c:v>106.3</c:v>
                </c:pt>
                <c:pt idx="3" formatCode="0.0">
                  <c:v>112</c:v>
                </c:pt>
                <c:pt idx="4">
                  <c:v>101.3</c:v>
                </c:pt>
              </c:numCache>
            </c:numRef>
          </c:val>
        </c:ser>
        <c:axId val="120969856"/>
        <c:axId val="122233216"/>
      </c:barChart>
      <c:catAx>
        <c:axId val="12096985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233216"/>
        <c:crossesAt val="75"/>
        <c:auto val="1"/>
        <c:lblAlgn val="ctr"/>
        <c:lblOffset val="1"/>
        <c:tickLblSkip val="1"/>
        <c:tickMarkSkip val="3"/>
      </c:catAx>
      <c:valAx>
        <c:axId val="122233216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2096985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083"/>
          <c:y val="0.25630587221373446"/>
          <c:w val="0.14522582259010045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387887863709915E-2"/>
          <c:y val="0.3802587834415444"/>
          <c:w val="0.58212673308463458"/>
          <c:h val="0.42201961596905818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01.11.2020</c:v>
                </c:pt>
                <c:pt idx="1">
                  <c:v>01.11.2021</c:v>
                </c:pt>
                <c:pt idx="2">
                  <c:v>01.11.2020</c:v>
                </c:pt>
                <c:pt idx="3">
                  <c:v>01.11.2021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6375.2</c:v>
                </c:pt>
                <c:pt idx="1">
                  <c:v>6986.9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5 921,8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01.11.2020</c:v>
                </c:pt>
                <c:pt idx="1">
                  <c:v>01.11.2021</c:v>
                </c:pt>
                <c:pt idx="2">
                  <c:v>01.11.2020</c:v>
                </c:pt>
                <c:pt idx="3">
                  <c:v>01.11.2021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5921.8</c:v>
                </c:pt>
                <c:pt idx="1">
                  <c:v>7210.7</c:v>
                </c:pt>
              </c:numCache>
            </c:numRef>
          </c:val>
        </c:ser>
        <c:gapWidth val="60"/>
        <c:overlap val="100"/>
        <c:axId val="122328192"/>
        <c:axId val="12232972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362E-3"/>
                  <c:y val="-0.22617764884652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r>
                      <a:rPr lang="ru-RU" baseline="0"/>
                      <a:t> 671,8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7.498209221901458E-17"/>
                  <c:y val="-0.241136436892757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13</a:t>
                    </a:r>
                    <a:r>
                      <a:rPr lang="ru-RU" baseline="0"/>
                      <a:t> 312,5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01.11.2020</c:v>
                </c:pt>
                <c:pt idx="1">
                  <c:v>01.11.2021</c:v>
                </c:pt>
                <c:pt idx="2">
                  <c:v>01.11.2020</c:v>
                </c:pt>
                <c:pt idx="3">
                  <c:v>01.11.2021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10294.799999999997</c:v>
                </c:pt>
                <c:pt idx="3" formatCode="#,##0.0">
                  <c:v>11797.3</c:v>
                </c:pt>
              </c:numCache>
            </c:numRef>
          </c:val>
        </c:ser>
        <c:gapWidth val="88"/>
        <c:overlap val="100"/>
        <c:axId val="122341248"/>
        <c:axId val="122339712"/>
      </c:barChart>
      <c:catAx>
        <c:axId val="12232819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2329728"/>
        <c:crossesAt val="500"/>
        <c:lblAlgn val="ctr"/>
        <c:lblOffset val="0"/>
        <c:tickLblSkip val="1"/>
      </c:catAx>
      <c:valAx>
        <c:axId val="122329728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22328192"/>
        <c:crosses val="autoZero"/>
        <c:crossBetween val="between"/>
        <c:majorUnit val="700"/>
        <c:minorUnit val="700"/>
      </c:valAx>
      <c:valAx>
        <c:axId val="122339712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2341248"/>
        <c:crosses val="max"/>
        <c:crossBetween val="between"/>
      </c:valAx>
      <c:catAx>
        <c:axId val="122341248"/>
        <c:scaling>
          <c:orientation val="minMax"/>
        </c:scaling>
        <c:delete val="1"/>
        <c:axPos val="b"/>
        <c:tickLblPos val="none"/>
        <c:crossAx val="12233971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063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41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октябрь 2020 г.</c:v>
                </c:pt>
                <c:pt idx="1">
                  <c:v>янв.- октябрь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246.8</c:v>
                </c:pt>
                <c:pt idx="1">
                  <c:v>363.5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4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36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4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октябрь 2020 г.</c:v>
                </c:pt>
                <c:pt idx="1">
                  <c:v>янв.- октябрь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82</c:v>
                </c:pt>
                <c:pt idx="1">
                  <c:v>128.80000000000001</c:v>
                </c:pt>
              </c:numCache>
            </c:numRef>
          </c:val>
        </c:ser>
        <c:axId val="122729600"/>
        <c:axId val="122731136"/>
      </c:barChart>
      <c:catAx>
        <c:axId val="12272960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2731136"/>
        <c:crossesAt val="0"/>
        <c:lblAlgn val="ctr"/>
        <c:lblOffset val="0"/>
        <c:tickLblSkip val="1"/>
      </c:catAx>
      <c:valAx>
        <c:axId val="122731136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22729600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342"/>
          <c:h val="0.677211420001082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5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272E-3"/>
                  <c:y val="9.370614387487579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0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95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59E-2"/>
                  <c:y val="-2.698671756939697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14.9</c:v>
                </c:pt>
                <c:pt idx="1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046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90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77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0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6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9.1</c:v>
                </c:pt>
                <c:pt idx="1">
                  <c:v>9.4</c:v>
                </c:pt>
              </c:numCache>
            </c:numRef>
          </c:val>
        </c:ser>
        <c:gapWidth val="41"/>
        <c:overlap val="-2"/>
        <c:axId val="122654080"/>
        <c:axId val="122655872"/>
      </c:barChart>
      <c:catAx>
        <c:axId val="12265408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2655872"/>
        <c:crossesAt val="6"/>
        <c:lblAlgn val="ctr"/>
        <c:lblOffset val="0"/>
        <c:tickLblSkip val="1"/>
      </c:catAx>
      <c:valAx>
        <c:axId val="122655872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265408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945"/>
          <c:h val="0.4402766842280506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269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05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65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6134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854E-3"/>
                  <c:y val="-3.108097909486574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77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39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1985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843E-3"/>
                  <c:y val="1.2013534250710677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795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Лист1!$B$2:$B$12</c:f>
              <c:numCache>
                <c:formatCode>0.0</c:formatCode>
                <c:ptCount val="11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175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339E-3"/>
                  <c:y val="1.180221881210537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89946E-4"/>
                  <c:y val="5.4124424542778868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097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783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035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5179053739229386E-2"/>
                  <c:y val="3.4200397474277457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946294106193523E-2"/>
                  <c:y val="2.6416945485648172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29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Лист1!$A$2:$A$12</c:f>
              <c:strCache>
                <c:ptCount val="11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  <c:pt idx="10">
                  <c:v> 01.11.</c:v>
                </c:pt>
              </c:strCache>
            </c:strRef>
          </c:cat>
          <c:val>
            <c:numRef>
              <c:f>Лист1!$C$2:$C$12</c:f>
              <c:numCache>
                <c:formatCode>0.0</c:formatCode>
                <c:ptCount val="11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  <c:pt idx="10">
                  <c:v>2.9</c:v>
                </c:pt>
              </c:numCache>
            </c:numRef>
          </c:val>
        </c:ser>
        <c:axId val="122784000"/>
        <c:axId val="124145664"/>
      </c:barChart>
      <c:catAx>
        <c:axId val="122784000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145664"/>
        <c:crossesAt val="0"/>
        <c:auto val="1"/>
        <c:lblAlgn val="ctr"/>
        <c:lblOffset val="100"/>
      </c:catAx>
      <c:valAx>
        <c:axId val="124145664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22784000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792"/>
          <c:y val="0.27361881134721605"/>
          <c:w val="0.1685626558759228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0.10526</cdr:y>
    </cdr:from>
    <cdr:to>
      <cdr:x>0.59663</cdr:x>
      <cdr:y>0.29825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50" y="114299"/>
          <a:ext cx="752475" cy="209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0.2807</cdr:y>
    </cdr:from>
    <cdr:to>
      <cdr:x>0.2362</cdr:x>
      <cdr:y>0.5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68" y="304797"/>
          <a:ext cx="761981" cy="238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12 297,0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0.26535</cdr:x>
      <cdr:y>0.22807</cdr:y>
    </cdr:from>
    <cdr:to>
      <cdr:x>0.39111</cdr:x>
      <cdr:y>0.45614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47879" y="247652"/>
          <a:ext cx="781008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14 197,6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E271B-9BE3-4B36-8284-6F1EF641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59</cp:revision>
  <cp:lastPrinted>2021-12-08T02:07:00Z</cp:lastPrinted>
  <dcterms:created xsi:type="dcterms:W3CDTF">2021-07-21T06:42:00Z</dcterms:created>
  <dcterms:modified xsi:type="dcterms:W3CDTF">2021-12-08T04:44:00Z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