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>Приложение 1</w:t>
      </w:r>
    </w:p>
    <w:p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>к постановлению</w:t>
      </w:r>
    </w:p>
    <w:p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 xml:space="preserve">от </w:t>
      </w:r>
      <w:r w:rsidRPr="00AE118B">
        <w:rPr>
          <w:rFonts w:eastAsia="Calibri"/>
          <w:sz w:val="28"/>
          <w:szCs w:val="22"/>
          <w:lang w:eastAsia="en-US"/>
        </w:rPr>
        <w:t>__________20</w:t>
      </w:r>
      <w:r>
        <w:rPr>
          <w:rFonts w:eastAsia="Calibri"/>
          <w:sz w:val="28"/>
          <w:szCs w:val="22"/>
          <w:lang w:eastAsia="en-US"/>
        </w:rPr>
        <w:t>20</w:t>
      </w:r>
      <w:r w:rsidRPr="00AE118B">
        <w:rPr>
          <w:rFonts w:eastAsia="Calibri"/>
          <w:sz w:val="28"/>
          <w:szCs w:val="22"/>
          <w:lang w:eastAsia="en-US"/>
        </w:rPr>
        <w:t xml:space="preserve"> №_____</w:t>
      </w:r>
    </w:p>
    <w:p w:rsidR="00AE118B" w:rsidRPr="00AE118B" w:rsidRDefault="00AE118B" w:rsidP="005A7835">
      <w:pPr>
        <w:jc w:val="center"/>
        <w:rPr>
          <w:rFonts w:eastAsia="Calibri"/>
          <w:sz w:val="28"/>
          <w:szCs w:val="28"/>
          <w:lang w:eastAsia="en-US"/>
        </w:rPr>
      </w:pP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ПАСПОРТ</w:t>
      </w: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«Развитие предпринимательства в городе Барнауле на 2015-2024 годы»</w:t>
      </w: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693386">
        <w:rPr>
          <w:rFonts w:eastAsia="Calibri"/>
          <w:sz w:val="28"/>
          <w:szCs w:val="28"/>
          <w:lang w:val="en-US" w:eastAsia="en-US"/>
        </w:rPr>
        <w:t>(</w:t>
      </w:r>
      <w:r w:rsidRPr="00693386">
        <w:rPr>
          <w:rFonts w:eastAsia="Calibri"/>
          <w:sz w:val="28"/>
          <w:szCs w:val="28"/>
          <w:lang w:eastAsia="en-US"/>
        </w:rPr>
        <w:t>далее – Программа)</w:t>
      </w:r>
    </w:p>
    <w:p w:rsidR="00693386" w:rsidRPr="00693386" w:rsidRDefault="00693386" w:rsidP="005A7835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378"/>
      </w:tblGrid>
      <w:tr w:rsidR="00343A92" w:rsidRPr="00693386" w:rsidTr="005A7835">
        <w:tc>
          <w:tcPr>
            <w:tcW w:w="2836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378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комитет по развитию предпринимательства, потребительскому рынку и вопросам труда администрации города Барнаула (далее – КРППРиВТ)</w:t>
            </w:r>
          </w:p>
        </w:tc>
      </w:tr>
      <w:tr w:rsidR="00343A92" w:rsidRPr="00693386" w:rsidTr="005A7835">
        <w:tc>
          <w:tcPr>
            <w:tcW w:w="2836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378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:rsidTr="005A7835">
        <w:tc>
          <w:tcPr>
            <w:tcW w:w="2836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378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экономического развития и инвестиционной деятельности администрации города </w:t>
            </w:r>
            <w:r w:rsidR="005A7835" w:rsidRPr="00693386">
              <w:rPr>
                <w:rFonts w:eastAsia="Calibri"/>
                <w:sz w:val="28"/>
                <w:szCs w:val="28"/>
                <w:lang w:eastAsia="en-US"/>
              </w:rPr>
              <w:t xml:space="preserve">Барнаула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далее – КЭРиИД);</w:t>
            </w:r>
          </w:p>
          <w:p w:rsidR="00343A92" w:rsidRPr="00693386" w:rsidRDefault="00343A92" w:rsidP="000D323B">
            <w:pPr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отдел по развитию туризма администрации города Барнаула (далее – ОРТ);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информационной политики администрации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КИП);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строительству, архитектуре и развитию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КСАиРГ);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земельным ресурсам и землеустройству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КЗРиЗ);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управлению муниципальной собственностью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КУМС);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энергоресурсам и газификации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КЭиГ);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комитет жилищно-коммунального хозяйства города Барнаула (</w:t>
            </w:r>
            <w:r w:rsidR="005A7835" w:rsidRPr="00693386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КЖКХ);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дорожному хозяйству, благоустройству, транспорту и связи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КДХБТиС);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делам молодежи администрации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КДМ);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КО);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культуре города Барнаула (далее 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КК)</w:t>
            </w:r>
          </w:p>
        </w:tc>
      </w:tr>
      <w:tr w:rsidR="00343A92" w:rsidRPr="00693386" w:rsidTr="005A7835">
        <w:tc>
          <w:tcPr>
            <w:tcW w:w="2836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378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:rsidTr="005A7835">
        <w:tc>
          <w:tcPr>
            <w:tcW w:w="2836" w:type="dxa"/>
            <w:tcBorders>
              <w:bottom w:val="single" w:sz="4" w:space="0" w:color="auto"/>
            </w:tcBorders>
          </w:tcPr>
          <w:p w:rsidR="00343A92" w:rsidRDefault="00B270D6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Программно-целевые </w:t>
            </w:r>
            <w:r w:rsidR="005A7835">
              <w:rPr>
                <w:rFonts w:eastAsiaTheme="minorHAnsi"/>
                <w:sz w:val="28"/>
                <w:szCs w:val="28"/>
                <w:lang w:eastAsia="en-US"/>
              </w:rPr>
              <w:t xml:space="preserve">инструменты </w:t>
            </w:r>
            <w:r w:rsidR="005A78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:rsidTr="005A783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Создание благоприятных условий для развития предпринимательства в городе Барнауле</w:t>
            </w:r>
          </w:p>
        </w:tc>
      </w:tr>
      <w:tr w:rsidR="00343A92" w:rsidRPr="00693386" w:rsidTr="005A7835">
        <w:tc>
          <w:tcPr>
            <w:tcW w:w="2836" w:type="dxa"/>
            <w:tcBorders>
              <w:top w:val="single" w:sz="4" w:space="0" w:color="auto"/>
            </w:tcBorders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Использование эффективных инструментов финансовой, информационной, консультационной и имущественной поддержки, ориентированных на субъекты малого и среднего предпринимательства (далее – СМСП), внедряющие инновации, реализующие инвестиционные и социальные проекты;</w:t>
            </w:r>
          </w:p>
          <w:p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создание условий для обеспечения жителей города доступными услугами предприятий потребительского рынка (далее – ППР);</w:t>
            </w:r>
          </w:p>
          <w:p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развитие кадрового потенциала и создание высокопроизводительных рабочих мест;</w:t>
            </w:r>
          </w:p>
          <w:p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привлечение инвестиционных ресурсов в город Барнаул;</w:t>
            </w:r>
          </w:p>
          <w:p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создание условий для устойчивого развития туризма в городе Барнауле</w:t>
            </w:r>
          </w:p>
        </w:tc>
      </w:tr>
      <w:tr w:rsidR="00343A92" w:rsidRPr="00693386" w:rsidTr="005A7835">
        <w:trPr>
          <w:trHeight w:val="70"/>
        </w:trPr>
        <w:tc>
          <w:tcPr>
            <w:tcW w:w="2836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Индикаторы Программы</w:t>
            </w:r>
          </w:p>
        </w:tc>
        <w:tc>
          <w:tcPr>
            <w:tcW w:w="6378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Удельный вес поступлений в доходах бюджета города (за исключением акцизов) от СМСП;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прирост количества объектов муниципального имущества, включенных в перечень муниципального имущества, предназначенного для оказания имущественной поддержки СМСП;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СМСП, получивших поддержку в рамках реализации мероприятий Программы;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оборот розничной торговли в расчете на душу населения;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площадью </w:t>
            </w:r>
            <w:r w:rsidR="0016362E" w:rsidRPr="0016362E">
              <w:rPr>
                <w:rFonts w:eastAsia="Calibri"/>
                <w:sz w:val="28"/>
                <w:szCs w:val="28"/>
                <w:lang w:eastAsia="en-US"/>
              </w:rPr>
              <w:t xml:space="preserve">стационарных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торговых объектов на 1000 человек населения;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беспеченность населения нестационарными торговыми объектами (торговыми павильонами и киосками) по продаже продовольствен</w:t>
            </w:r>
            <w:r>
              <w:rPr>
                <w:rFonts w:eastAsia="Calibri"/>
                <w:sz w:val="28"/>
                <w:szCs w:val="28"/>
                <w:lang w:eastAsia="en-US"/>
              </w:rPr>
              <w:t>ных товаров и сельскохозяйствен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ной продукции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3A92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исло трудоустроенных граждан, с которыми легализованы трудовые отношения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положительно решенных администрацией города вопросов по заявкам инвесторов;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инвесторов из других территорий, привлеченных к реализации проектов в Барнауле при содействии администрации города;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туристский поток в год;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мест в коллективных средствах размещения (гостиницы, пансионаты, санаторно-курортные организации и другие)</w:t>
            </w:r>
          </w:p>
        </w:tc>
      </w:tr>
      <w:tr w:rsidR="00343A92" w:rsidRPr="00693386" w:rsidTr="005A7835">
        <w:tc>
          <w:tcPr>
            <w:tcW w:w="2836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378" w:type="dxa"/>
          </w:tcPr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2015-2024 годы</w:t>
            </w:r>
          </w:p>
        </w:tc>
      </w:tr>
      <w:tr w:rsidR="00343A92" w:rsidRPr="00693386" w:rsidTr="005A7835">
        <w:tc>
          <w:tcPr>
            <w:tcW w:w="2836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Объемы финансирования Программы</w:t>
            </w:r>
          </w:p>
        </w:tc>
        <w:tc>
          <w:tcPr>
            <w:tcW w:w="6378" w:type="dxa"/>
          </w:tcPr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Программы составляет 78931,1 тыс. рублей, в том числе: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из федерального бюджета – 7205,2 тыс. рублей, из них: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в 2015 году – 3937,2 тыс. рублей;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 xml:space="preserve">в 2016 году 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8B7F6C">
              <w:rPr>
                <w:rFonts w:eastAsia="Calibri"/>
                <w:sz w:val="28"/>
                <w:szCs w:val="28"/>
                <w:lang w:eastAsia="en-US"/>
              </w:rPr>
              <w:t xml:space="preserve"> 3268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8B7F6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из краевого бюджета – 372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8B7F6C">
              <w:rPr>
                <w:rFonts w:eastAsia="Calibri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в 2015 году – 200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8B7F6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 xml:space="preserve">в 2016 году 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8B7F6C">
              <w:rPr>
                <w:rFonts w:eastAsia="Calibri"/>
                <w:sz w:val="28"/>
                <w:szCs w:val="28"/>
                <w:lang w:eastAsia="en-US"/>
              </w:rPr>
              <w:t xml:space="preserve"> 172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8B7F6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из бюджета города – 71353,9 тыс. рублей, из них: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в 2015 году – 6898,7 тыс. рублей;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в 2016 году – 7061,5 тыс. рублей;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в 2017 году – 7631,2 тыс. рублей;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в 2018 году – 5299</w:t>
            </w:r>
            <w:r w:rsidR="00D714A2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8B7F6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в 2019 году – 4633,1 тыс. рублей;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в 2020 году – 7568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8B7F6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в 2021 году – 7955,2 тыс. рублей;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в 2022 году – 7955,2 тыс. рублей;</w:t>
            </w:r>
          </w:p>
          <w:p w:rsidR="008B7F6C" w:rsidRP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в 2023 году – 8146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8B7F6C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B7F6C" w:rsidRDefault="008B7F6C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7F6C">
              <w:rPr>
                <w:rFonts w:eastAsia="Calibri"/>
                <w:sz w:val="28"/>
                <w:szCs w:val="28"/>
                <w:lang w:eastAsia="en-US"/>
              </w:rPr>
              <w:t>в 2024 году – 8206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8B7F6C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подлежат ежегодному уточнению в соответствии с решением о бюджете города на очередной финансовый год и на плановый период. 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      </w:r>
          </w:p>
          <w:p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343A92" w:rsidRPr="00693386" w:rsidTr="005A7835">
        <w:trPr>
          <w:trHeight w:val="247"/>
        </w:trPr>
        <w:tc>
          <w:tcPr>
            <w:tcW w:w="2836" w:type="dxa"/>
          </w:tcPr>
          <w:p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Ожидаемые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результаты реализации Программы</w:t>
            </w:r>
          </w:p>
        </w:tc>
        <w:tc>
          <w:tcPr>
            <w:tcW w:w="6378" w:type="dxa"/>
          </w:tcPr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результате реализации мероприятий Программы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lastRenderedPageBreak/>
              <w:t>к 2024 году ожидается: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удельный вес поступлений в доходах бюджета города (за исключением акцизов) от СМСП составит не менее 47,6%;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прирост количества объектов муниципального имущества, включенных в перечень муниципального имущества, предназначенного для оказания имущественной поддержки СМСП, составит не менее 3% в год;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количество СМСП, получивших поддержку в рамках реализации мероприятий Программы, составит 2940 ед.;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предпринимателей, составит 128323 человека;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оборот розничной торговли в расчете на душу населения составит не менее 305</w:t>
            </w:r>
            <w:r w:rsidR="0016362E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площадью </w:t>
            </w:r>
            <w:r w:rsidR="0016362E" w:rsidRPr="0016362E">
              <w:rPr>
                <w:rFonts w:eastAsia="Calibri"/>
                <w:sz w:val="28"/>
                <w:szCs w:val="28"/>
                <w:lang w:eastAsia="en-US"/>
              </w:rPr>
              <w:t xml:space="preserve">стационарных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торговых объектов на 1000 человек населения составит не менее 1550</w:t>
            </w:r>
            <w:r w:rsidR="0016362E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кв.м;</w:t>
            </w:r>
            <w:r w:rsidR="001636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обеспеченность населения нестационарными торговыми объектами (торговыми павильонами и киосками) по продаже продовольственных товаров и сельскохозяйственной продукции составит не менее 8,9 единиц на 10000 человек в год;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число трудоустроенных граждан, с которыми легализованы трудовые отношения, составит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30000 человек;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количество положительно решенных администрацией города вопросов по заявкам инвесторов составит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182 ед.;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количество инвесторов из других территорий, привлеченных к реализации проектов в Барнауле при содействии администрации города, увеличится до 11 ед.;</w:t>
            </w:r>
          </w:p>
          <w:p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туристский поток превысит 459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тыс. человек в год;</w:t>
            </w:r>
          </w:p>
          <w:p w:rsidR="00343A92" w:rsidRPr="00693386" w:rsidRDefault="004964FE" w:rsidP="0096511C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мест в коллективных средствах размещения (гостиницы, пансионаты, санаторно-курортные организации и другие)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составит не менее </w:t>
            </w:r>
            <w:r w:rsidR="0096511C" w:rsidRPr="0096511C">
              <w:rPr>
                <w:rFonts w:eastAsia="Calibri"/>
                <w:sz w:val="28"/>
                <w:szCs w:val="28"/>
                <w:lang w:eastAsia="en-US"/>
              </w:rPr>
              <w:t>6900</w:t>
            </w:r>
            <w:r w:rsidRPr="0096511C">
              <w:rPr>
                <w:rFonts w:eastAsia="Calibri"/>
                <w:sz w:val="28"/>
                <w:szCs w:val="28"/>
                <w:lang w:eastAsia="en-US"/>
              </w:rPr>
              <w:t xml:space="preserve"> мест</w:t>
            </w:r>
          </w:p>
        </w:tc>
      </w:tr>
    </w:tbl>
    <w:p w:rsidR="00693386" w:rsidRPr="00693386" w:rsidRDefault="0069338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693386" w:rsidRPr="00693386" w:rsidSect="001B04EB">
      <w:headerReference w:type="default" r:id="rId6"/>
      <w:pgSz w:w="11906" w:h="16838"/>
      <w:pgMar w:top="1134" w:right="90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44" w:rsidRDefault="009A1544" w:rsidP="00AD704D">
      <w:r>
        <w:separator/>
      </w:r>
    </w:p>
  </w:endnote>
  <w:endnote w:type="continuationSeparator" w:id="0">
    <w:p w:rsidR="009A1544" w:rsidRDefault="009A1544" w:rsidP="00A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44" w:rsidRDefault="009A1544" w:rsidP="00AD704D">
      <w:r>
        <w:separator/>
      </w:r>
    </w:p>
  </w:footnote>
  <w:footnote w:type="continuationSeparator" w:id="0">
    <w:p w:rsidR="009A1544" w:rsidRDefault="009A1544" w:rsidP="00AD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326869"/>
      <w:docPartObj>
        <w:docPartGallery w:val="Page Numbers (Top of Page)"/>
        <w:docPartUnique/>
      </w:docPartObj>
    </w:sdtPr>
    <w:sdtEndPr/>
    <w:sdtContent>
      <w:p w:rsidR="00AD704D" w:rsidRDefault="00AD7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EB">
          <w:rPr>
            <w:noProof/>
          </w:rPr>
          <w:t>4</w:t>
        </w:r>
        <w:r>
          <w:fldChar w:fldCharType="end"/>
        </w:r>
      </w:p>
    </w:sdtContent>
  </w:sdt>
  <w:p w:rsidR="00AD704D" w:rsidRDefault="00AD70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8EF"/>
    <w:rsid w:val="000779AA"/>
    <w:rsid w:val="000D323B"/>
    <w:rsid w:val="001218EF"/>
    <w:rsid w:val="00162A65"/>
    <w:rsid w:val="001632E5"/>
    <w:rsid w:val="0016362E"/>
    <w:rsid w:val="001914FB"/>
    <w:rsid w:val="001A6C02"/>
    <w:rsid w:val="001B04EB"/>
    <w:rsid w:val="00276AB4"/>
    <w:rsid w:val="00301159"/>
    <w:rsid w:val="003115C3"/>
    <w:rsid w:val="00343A92"/>
    <w:rsid w:val="00352C40"/>
    <w:rsid w:val="0036591B"/>
    <w:rsid w:val="00381DCC"/>
    <w:rsid w:val="003961B0"/>
    <w:rsid w:val="003B1466"/>
    <w:rsid w:val="0042370A"/>
    <w:rsid w:val="00424D4F"/>
    <w:rsid w:val="00495BB9"/>
    <w:rsid w:val="004964FE"/>
    <w:rsid w:val="004D57F6"/>
    <w:rsid w:val="00537B33"/>
    <w:rsid w:val="00595180"/>
    <w:rsid w:val="005A7835"/>
    <w:rsid w:val="005F4BEE"/>
    <w:rsid w:val="006302B2"/>
    <w:rsid w:val="00675FF2"/>
    <w:rsid w:val="00676BFD"/>
    <w:rsid w:val="00693386"/>
    <w:rsid w:val="006D676D"/>
    <w:rsid w:val="007B5B26"/>
    <w:rsid w:val="008B7F6C"/>
    <w:rsid w:val="0096511C"/>
    <w:rsid w:val="00992446"/>
    <w:rsid w:val="009A1544"/>
    <w:rsid w:val="009B4C9C"/>
    <w:rsid w:val="009C0849"/>
    <w:rsid w:val="00A0328B"/>
    <w:rsid w:val="00A041D7"/>
    <w:rsid w:val="00A74766"/>
    <w:rsid w:val="00AA37AB"/>
    <w:rsid w:val="00AD704D"/>
    <w:rsid w:val="00AE118B"/>
    <w:rsid w:val="00B05568"/>
    <w:rsid w:val="00B16DFC"/>
    <w:rsid w:val="00B24076"/>
    <w:rsid w:val="00B270D6"/>
    <w:rsid w:val="00B47401"/>
    <w:rsid w:val="00B921E0"/>
    <w:rsid w:val="00C23AD8"/>
    <w:rsid w:val="00C55E04"/>
    <w:rsid w:val="00C950D2"/>
    <w:rsid w:val="00CB1646"/>
    <w:rsid w:val="00CB44D9"/>
    <w:rsid w:val="00CE0CCB"/>
    <w:rsid w:val="00CE6802"/>
    <w:rsid w:val="00D05328"/>
    <w:rsid w:val="00D714A2"/>
    <w:rsid w:val="00DA18AF"/>
    <w:rsid w:val="00DB3F66"/>
    <w:rsid w:val="00E1300D"/>
    <w:rsid w:val="00E31890"/>
    <w:rsid w:val="00E35625"/>
    <w:rsid w:val="00EA7F9C"/>
    <w:rsid w:val="00EE3324"/>
    <w:rsid w:val="00F27A32"/>
    <w:rsid w:val="00FE56BA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A0C10-D4B6-464E-9D6E-3AF3E940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8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1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7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7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23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Татьяна И. Жарникова</cp:lastModifiedBy>
  <cp:revision>39</cp:revision>
  <cp:lastPrinted>2020-01-23T04:00:00Z</cp:lastPrinted>
  <dcterms:created xsi:type="dcterms:W3CDTF">2016-07-08T08:54:00Z</dcterms:created>
  <dcterms:modified xsi:type="dcterms:W3CDTF">2020-02-04T04:45:00Z</dcterms:modified>
</cp:coreProperties>
</file>