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834490"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p>
    <w:p w:rsidR="00297762" w:rsidRDefault="002A0956" w:rsidP="00E31F5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гражданину </w:t>
      </w:r>
      <w:proofErr w:type="spellStart"/>
      <w:r>
        <w:rPr>
          <w:rFonts w:ascii="Times New Roman" w:hAnsi="Times New Roman" w:cs="Times New Roman"/>
          <w:sz w:val="28"/>
          <w:szCs w:val="28"/>
        </w:rPr>
        <w:t>Покк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Яановичу</w:t>
      </w:r>
      <w:proofErr w:type="spellEnd"/>
      <w:r w:rsidR="00834490">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297762">
        <w:rPr>
          <w:rFonts w:ascii="Times New Roman" w:hAnsi="Times New Roman" w:cs="Times New Roman"/>
          <w:sz w:val="28"/>
          <w:szCs w:val="28"/>
        </w:rPr>
        <w:t xml:space="preserve">площадью </w:t>
      </w:r>
      <w:r>
        <w:rPr>
          <w:rFonts w:ascii="Times New Roman" w:hAnsi="Times New Roman" w:cs="Times New Roman"/>
          <w:sz w:val="28"/>
          <w:szCs w:val="28"/>
        </w:rPr>
        <w:t>108,1</w:t>
      </w:r>
      <w:r w:rsidR="00834490">
        <w:rPr>
          <w:rFonts w:ascii="Times New Roman" w:hAnsi="Times New Roman" w:cs="Times New Roman"/>
          <w:sz w:val="28"/>
          <w:szCs w:val="28"/>
        </w:rPr>
        <w:t xml:space="preserve"> </w:t>
      </w:r>
      <w:proofErr w:type="spellStart"/>
      <w:r w:rsidR="00297762">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834490">
        <w:rPr>
          <w:rFonts w:ascii="Times New Roman" w:hAnsi="Times New Roman" w:cs="Times New Roman"/>
          <w:sz w:val="28"/>
          <w:szCs w:val="28"/>
        </w:rPr>
        <w:t xml:space="preserve"> (кабинет 103)</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Pr>
          <w:rFonts w:ascii="Times New Roman" w:hAnsi="Times New Roman" w:cs="Times New Roman"/>
          <w:sz w:val="28"/>
          <w:szCs w:val="28"/>
        </w:rPr>
        <w:t>проведения выставки-продажи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2A0956">
        <w:rPr>
          <w:rFonts w:ascii="Times New Roman" w:hAnsi="Times New Roman" w:cs="Times New Roman"/>
          <w:sz w:val="28"/>
          <w:szCs w:val="28"/>
        </w:rPr>
        <w:t>06.07</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w:t>
      </w:r>
      <w:r w:rsidR="00B53F4A" w:rsidRPr="00B53F4A">
        <w:rPr>
          <w:rFonts w:ascii="Times New Roman" w:hAnsi="Times New Roman" w:cs="Times New Roman"/>
          <w:sz w:val="28"/>
          <w:szCs w:val="28"/>
        </w:rPr>
        <w:lastRenderedPageBreak/>
        <w:t xml:space="preserve">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2A0956">
        <w:rPr>
          <w:rFonts w:ascii="Times New Roman" w:hAnsi="Times New Roman" w:cs="Times New Roman"/>
          <w:sz w:val="28"/>
          <w:szCs w:val="28"/>
        </w:rPr>
        <w:t xml:space="preserve">108,1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AC652F">
        <w:rPr>
          <w:rFonts w:ascii="Times New Roman" w:hAnsi="Times New Roman" w:cs="Times New Roman"/>
          <w:sz w:val="28"/>
          <w:szCs w:val="28"/>
        </w:rPr>
        <w:t xml:space="preserve"> </w:t>
      </w:r>
      <w:r w:rsidR="00834490">
        <w:rPr>
          <w:rFonts w:ascii="Times New Roman" w:hAnsi="Times New Roman" w:cs="Times New Roman"/>
          <w:sz w:val="28"/>
          <w:szCs w:val="28"/>
        </w:rPr>
        <w:t>(кабинет 103)</w:t>
      </w:r>
      <w:r w:rsidR="00B7758B">
        <w:rPr>
          <w:rFonts w:ascii="Times New Roman" w:hAnsi="Times New Roman" w:cs="Times New Roman"/>
          <w:sz w:val="28"/>
          <w:szCs w:val="28"/>
        </w:rPr>
        <w:t>,</w:t>
      </w:r>
      <w:r w:rsidR="002A0956" w:rsidRPr="002A0956">
        <w:rPr>
          <w:rFonts w:ascii="Times New Roman" w:hAnsi="Times New Roman" w:cs="Times New Roman"/>
          <w:sz w:val="28"/>
          <w:szCs w:val="28"/>
        </w:rPr>
        <w:t xml:space="preserve"> </w:t>
      </w:r>
      <w:r w:rsidR="002A0956">
        <w:rPr>
          <w:rFonts w:ascii="Times New Roman" w:hAnsi="Times New Roman" w:cs="Times New Roman"/>
          <w:sz w:val="28"/>
          <w:szCs w:val="28"/>
        </w:rPr>
        <w:t>для проведения выставки-продажи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2A0956">
        <w:rPr>
          <w:rFonts w:ascii="Times New Roman" w:hAnsi="Times New Roman" w:cs="Times New Roman"/>
          <w:sz w:val="28"/>
          <w:szCs w:val="28"/>
        </w:rPr>
        <w:t xml:space="preserve">108,1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2A0956">
        <w:rPr>
          <w:rFonts w:ascii="Times New Roman" w:hAnsi="Times New Roman" w:cs="Times New Roman"/>
          <w:sz w:val="28"/>
          <w:szCs w:val="28"/>
        </w:rPr>
        <w:t>кабинет</w:t>
      </w:r>
      <w:r w:rsidR="00834490">
        <w:rPr>
          <w:rFonts w:ascii="Times New Roman" w:hAnsi="Times New Roman" w:cs="Times New Roman"/>
          <w:sz w:val="28"/>
          <w:szCs w:val="28"/>
        </w:rPr>
        <w:t xml:space="preserve"> 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A0956" w:rsidRDefault="002A095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974E3A">
        <w:rPr>
          <w:rFonts w:ascii="Times New Roman" w:eastAsia="Times New Roman" w:hAnsi="Times New Roman" w:cs="Times New Roman"/>
          <w:sz w:val="28"/>
          <w:szCs w:val="28"/>
          <w:lang w:eastAsia="ru-RU" w:bidi="ru-RU"/>
        </w:rPr>
        <w:t>.06</w:t>
      </w:r>
      <w:r w:rsidR="005160B1">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с 09-00 по 10-00;</w:t>
      </w:r>
      <w:r w:rsidR="00974E3A">
        <w:rPr>
          <w:rFonts w:ascii="Times New Roman" w:eastAsia="Times New Roman" w:hAnsi="Times New Roman" w:cs="Times New Roman"/>
          <w:sz w:val="28"/>
          <w:szCs w:val="28"/>
          <w:lang w:eastAsia="ru-RU" w:bidi="ru-RU"/>
        </w:rPr>
        <w:t xml:space="preserve"> </w:t>
      </w:r>
    </w:p>
    <w:p w:rsidR="00297762" w:rsidRDefault="002A095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06.07</w:t>
      </w:r>
      <w:r w:rsidR="00665C09">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 09-00 по 10-00</w:t>
      </w:r>
      <w:r w:rsidR="00665C09">
        <w:rPr>
          <w:rFonts w:ascii="Times New Roman" w:eastAsia="Times New Roman" w:hAnsi="Times New Roman" w:cs="Times New Roman"/>
          <w:sz w:val="28"/>
          <w:szCs w:val="28"/>
          <w:lang w:eastAsia="ru-RU" w:bidi="ru-RU"/>
        </w:rPr>
        <w:t>.</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2A095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A0956">
        <w:rPr>
          <w:rFonts w:ascii="Times New Roman" w:hAnsi="Times New Roman" w:cs="Times New Roman"/>
          <w:sz w:val="28"/>
          <w:szCs w:val="28"/>
        </w:rPr>
        <w:t xml:space="preserve">гражданину </w:t>
      </w:r>
      <w:proofErr w:type="spellStart"/>
      <w:r w:rsidR="002A0956">
        <w:rPr>
          <w:rFonts w:ascii="Times New Roman" w:hAnsi="Times New Roman" w:cs="Times New Roman"/>
          <w:sz w:val="28"/>
          <w:szCs w:val="28"/>
        </w:rPr>
        <w:t>Покк</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Яану</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Яановичу</w:t>
      </w:r>
      <w:proofErr w:type="spellEnd"/>
      <w:r w:rsidR="002A0956">
        <w:rPr>
          <w:rFonts w:ascii="Times New Roman" w:hAnsi="Times New Roman" w:cs="Times New Roman"/>
          <w:sz w:val="28"/>
          <w:szCs w:val="28"/>
        </w:rPr>
        <w:t>,</w:t>
      </w:r>
      <w:r w:rsidR="002A0956">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2A0956">
        <w:rPr>
          <w:rFonts w:ascii="Times New Roman" w:hAnsi="Times New Roman" w:cs="Times New Roman"/>
          <w:sz w:val="28"/>
          <w:szCs w:val="28"/>
        </w:rPr>
        <w:t xml:space="preserve">108,1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AC652F">
        <w:rPr>
          <w:rFonts w:ascii="Times New Roman" w:hAnsi="Times New Roman" w:cs="Times New Roman"/>
          <w:sz w:val="28"/>
          <w:szCs w:val="28"/>
        </w:rPr>
        <w:t xml:space="preserve"> 103</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8949CC">
        <w:rPr>
          <w:rFonts w:ascii="Times New Roman" w:hAnsi="Times New Roman" w:cs="Times New Roman"/>
          <w:sz w:val="28"/>
          <w:szCs w:val="28"/>
        </w:rPr>
        <w:t>для</w:t>
      </w:r>
      <w:r w:rsidR="002A0956" w:rsidRPr="002A0956">
        <w:rPr>
          <w:rFonts w:ascii="Times New Roman" w:hAnsi="Times New Roman" w:cs="Times New Roman"/>
          <w:sz w:val="28"/>
          <w:szCs w:val="28"/>
        </w:rPr>
        <w:t xml:space="preserve"> </w:t>
      </w:r>
      <w:r w:rsidR="002A0956">
        <w:rPr>
          <w:rFonts w:ascii="Times New Roman" w:hAnsi="Times New Roman" w:cs="Times New Roman"/>
          <w:sz w:val="28"/>
          <w:szCs w:val="28"/>
        </w:rPr>
        <w:t>проведения выставки-продажи</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A095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bookmarkStart w:id="0" w:name="_GoBack"/>
      <w:r w:rsidR="00297762">
        <w:rPr>
          <w:rFonts w:ascii="Times New Roman" w:hAnsi="Times New Roman" w:cs="Times New Roman"/>
          <w:sz w:val="28"/>
          <w:szCs w:val="28"/>
        </w:rPr>
        <w:t xml:space="preserve">В результате передачи в аренду </w:t>
      </w:r>
      <w:r w:rsidR="002A0956">
        <w:rPr>
          <w:rFonts w:ascii="Times New Roman" w:hAnsi="Times New Roman" w:cs="Times New Roman"/>
          <w:sz w:val="28"/>
          <w:szCs w:val="28"/>
        </w:rPr>
        <w:t xml:space="preserve">гражданину </w:t>
      </w:r>
      <w:proofErr w:type="spellStart"/>
      <w:r w:rsidR="002A0956">
        <w:rPr>
          <w:rFonts w:ascii="Times New Roman" w:hAnsi="Times New Roman" w:cs="Times New Roman"/>
          <w:sz w:val="28"/>
          <w:szCs w:val="28"/>
        </w:rPr>
        <w:t>Покк</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Яану</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Яановичу</w:t>
      </w:r>
      <w:proofErr w:type="spellEnd"/>
      <w:r w:rsidR="002A0956">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2A0956">
        <w:rPr>
          <w:rFonts w:ascii="Times New Roman" w:hAnsi="Times New Roman" w:cs="Times New Roman"/>
          <w:sz w:val="28"/>
          <w:szCs w:val="28"/>
        </w:rPr>
        <w:t xml:space="preserve">108,1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2A0956">
        <w:rPr>
          <w:rFonts w:ascii="Times New Roman" w:hAnsi="Times New Roman" w:cs="Times New Roman"/>
          <w:sz w:val="28"/>
          <w:szCs w:val="28"/>
        </w:rPr>
        <w:t>кабинет 103)</w:t>
      </w:r>
      <w:r w:rsidR="002A0956" w:rsidRPr="002A0956">
        <w:rPr>
          <w:rFonts w:ascii="Times New Roman" w:hAnsi="Times New Roman" w:cs="Times New Roman"/>
          <w:sz w:val="28"/>
          <w:szCs w:val="28"/>
        </w:rPr>
        <w:t xml:space="preserve"> </w:t>
      </w:r>
      <w:r w:rsidR="002A0956">
        <w:rPr>
          <w:rFonts w:ascii="Times New Roman" w:hAnsi="Times New Roman" w:cs="Times New Roman"/>
          <w:sz w:val="28"/>
          <w:szCs w:val="28"/>
        </w:rPr>
        <w:t xml:space="preserve">для </w:t>
      </w:r>
      <w:r w:rsidR="002A0956">
        <w:rPr>
          <w:rFonts w:ascii="Times New Roman" w:hAnsi="Times New Roman" w:cs="Times New Roman"/>
          <w:sz w:val="28"/>
          <w:szCs w:val="28"/>
        </w:rPr>
        <w:lastRenderedPageBreak/>
        <w:t>проведения выставки-продажи</w:t>
      </w:r>
      <w:r w:rsidR="00C051FC">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2A095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2A0956">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2A0956">
        <w:rPr>
          <w:rFonts w:ascii="Times New Roman" w:hAnsi="Times New Roman" w:cs="Times New Roman"/>
          <w:sz w:val="28"/>
          <w:szCs w:val="28"/>
        </w:rPr>
        <w:t xml:space="preserve">108,1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2A0956">
        <w:rPr>
          <w:rFonts w:ascii="Times New Roman" w:hAnsi="Times New Roman" w:cs="Times New Roman"/>
          <w:sz w:val="28"/>
          <w:szCs w:val="28"/>
        </w:rPr>
        <w:t>кабинет 103</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2A0956" w:rsidRPr="002A0956">
        <w:rPr>
          <w:rFonts w:ascii="Times New Roman" w:hAnsi="Times New Roman" w:cs="Times New Roman"/>
          <w:sz w:val="28"/>
          <w:szCs w:val="28"/>
        </w:rPr>
        <w:t xml:space="preserve"> </w:t>
      </w:r>
      <w:r w:rsidR="002A0956">
        <w:rPr>
          <w:rFonts w:ascii="Times New Roman" w:hAnsi="Times New Roman" w:cs="Times New Roman"/>
          <w:sz w:val="28"/>
          <w:szCs w:val="28"/>
        </w:rPr>
        <w:t>г</w:t>
      </w:r>
      <w:r w:rsidR="002A0956">
        <w:rPr>
          <w:rFonts w:ascii="Times New Roman" w:hAnsi="Times New Roman" w:cs="Times New Roman"/>
          <w:sz w:val="28"/>
          <w:szCs w:val="28"/>
        </w:rPr>
        <w:t>ражданином</w:t>
      </w:r>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Покк</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w:t>
      </w:r>
      <w:r w:rsidR="002A0956">
        <w:rPr>
          <w:rFonts w:ascii="Times New Roman" w:hAnsi="Times New Roman" w:cs="Times New Roman"/>
          <w:sz w:val="28"/>
          <w:szCs w:val="28"/>
        </w:rPr>
        <w:t>аном</w:t>
      </w:r>
      <w:proofErr w:type="spellEnd"/>
      <w:r w:rsidR="002A0956">
        <w:rPr>
          <w:rFonts w:ascii="Times New Roman" w:hAnsi="Times New Roman" w:cs="Times New Roman"/>
          <w:sz w:val="28"/>
          <w:szCs w:val="28"/>
        </w:rPr>
        <w:t xml:space="preserve"> </w:t>
      </w:r>
      <w:proofErr w:type="spellStart"/>
      <w:r w:rsidR="002A0956">
        <w:rPr>
          <w:rFonts w:ascii="Times New Roman" w:hAnsi="Times New Roman" w:cs="Times New Roman"/>
          <w:sz w:val="28"/>
          <w:szCs w:val="28"/>
        </w:rPr>
        <w:t>Я</w:t>
      </w:r>
      <w:r w:rsidR="002A0956">
        <w:rPr>
          <w:rFonts w:ascii="Times New Roman" w:hAnsi="Times New Roman" w:cs="Times New Roman"/>
          <w:sz w:val="28"/>
          <w:szCs w:val="28"/>
        </w:rPr>
        <w:t>ановичем</w:t>
      </w:r>
      <w:proofErr w:type="spellEnd"/>
      <w:r w:rsidR="00AC652F">
        <w:rPr>
          <w:rFonts w:ascii="Times New Roman" w:hAnsi="Times New Roman" w:cs="Times New Roman"/>
          <w:sz w:val="28"/>
          <w:szCs w:val="28"/>
        </w:rPr>
        <w:t>,</w:t>
      </w:r>
      <w:r w:rsidR="002A0956" w:rsidRPr="002A0956">
        <w:rPr>
          <w:rFonts w:ascii="Times New Roman" w:hAnsi="Times New Roman" w:cs="Times New Roman"/>
          <w:sz w:val="28"/>
          <w:szCs w:val="28"/>
        </w:rPr>
        <w:t xml:space="preserve"> </w:t>
      </w:r>
      <w:r w:rsidR="002A0956">
        <w:rPr>
          <w:rFonts w:ascii="Times New Roman" w:hAnsi="Times New Roman" w:cs="Times New Roman"/>
          <w:sz w:val="28"/>
          <w:szCs w:val="28"/>
        </w:rPr>
        <w:t>для проведения выставки-продажи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E12E4A">
        <w:tc>
          <w:tcPr>
            <w:tcW w:w="9411" w:type="dxa"/>
          </w:tcPr>
          <w:bookmarkEnd w:id="0"/>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                 </w:t>
            </w:r>
            <w:proofErr w:type="spellStart"/>
            <w:r w:rsidR="00BB376E">
              <w:rPr>
                <w:rFonts w:ascii="Times New Roman" w:hAnsi="Times New Roman" w:cs="Times New Roman"/>
                <w:sz w:val="28"/>
                <w:szCs w:val="28"/>
              </w:rPr>
              <w:t>А</w:t>
            </w:r>
            <w:r>
              <w:rPr>
                <w:rFonts w:ascii="Times New Roman" w:hAnsi="Times New Roman" w:cs="Times New Roman"/>
                <w:sz w:val="28"/>
                <w:szCs w:val="28"/>
              </w:rPr>
              <w:t>.В.</w:t>
            </w:r>
            <w:r w:rsidR="00BB376E">
              <w:rPr>
                <w:rFonts w:ascii="Times New Roman" w:hAnsi="Times New Roman" w:cs="Times New Roman"/>
                <w:sz w:val="28"/>
                <w:szCs w:val="28"/>
              </w:rPr>
              <w:t>Голобородова</w:t>
            </w:r>
            <w:proofErr w:type="spellEnd"/>
            <w:r w:rsidRPr="009B0F49">
              <w:rPr>
                <w:rFonts w:ascii="Times New Roman" w:hAnsi="Times New Roman" w:cs="Times New Roman"/>
                <w:sz w:val="28"/>
                <w:szCs w:val="28"/>
              </w:rPr>
              <w:t xml:space="preserve"> </w:t>
            </w:r>
          </w:p>
        </w:tc>
        <w:tc>
          <w:tcPr>
            <w:tcW w:w="9411" w:type="dxa"/>
            <w:tcBorders>
              <w:left w:val="nil"/>
            </w:tcBorders>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E12E4A">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Borders>
              <w:left w:val="nil"/>
            </w:tcBorders>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E12E4A">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Borders>
              <w:left w:val="nil"/>
            </w:tcBorders>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E12E4A">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Borders>
              <w:left w:val="nil"/>
            </w:tcBorders>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E12E4A">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E31F57">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956"/>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C1627"/>
    <w:rsid w:val="007C2C26"/>
    <w:rsid w:val="007C35D8"/>
    <w:rsid w:val="00814DDE"/>
    <w:rsid w:val="0082046E"/>
    <w:rsid w:val="00827492"/>
    <w:rsid w:val="00834490"/>
    <w:rsid w:val="008427EC"/>
    <w:rsid w:val="00856F92"/>
    <w:rsid w:val="00866533"/>
    <w:rsid w:val="00880B99"/>
    <w:rsid w:val="008949CC"/>
    <w:rsid w:val="008A28B0"/>
    <w:rsid w:val="00974E3A"/>
    <w:rsid w:val="009B0F49"/>
    <w:rsid w:val="009F584B"/>
    <w:rsid w:val="00A2520D"/>
    <w:rsid w:val="00A25FD3"/>
    <w:rsid w:val="00A65932"/>
    <w:rsid w:val="00A82AC9"/>
    <w:rsid w:val="00AB3BED"/>
    <w:rsid w:val="00AC652F"/>
    <w:rsid w:val="00AF26F2"/>
    <w:rsid w:val="00B01885"/>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12E4A"/>
    <w:rsid w:val="00E31F57"/>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2021-07-06T03:23:00Z</cp:lastPrinted>
  <dcterms:created xsi:type="dcterms:W3CDTF">2021-07-06T03:22:00Z</dcterms:created>
  <dcterms:modified xsi:type="dcterms:W3CDTF">2021-07-06T03:25:00Z</dcterms:modified>
</cp:coreProperties>
</file>