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7476EE">
        <w:rPr>
          <w:b/>
          <w:sz w:val="24"/>
          <w:szCs w:val="24"/>
        </w:rPr>
        <w:t xml:space="preserve">апрель </w:t>
      </w:r>
      <w:r>
        <w:rPr>
          <w:b/>
          <w:sz w:val="24"/>
          <w:szCs w:val="24"/>
        </w:rPr>
        <w:t>2020</w:t>
      </w:r>
      <w:r w:rsidRPr="00755462">
        <w:rPr>
          <w:b/>
          <w:sz w:val="24"/>
          <w:szCs w:val="24"/>
        </w:rPr>
        <w:t xml:space="preserve"> года</w:t>
      </w:r>
    </w:p>
    <w:p w:rsidR="00F3662E" w:rsidRDefault="00F3662E" w:rsidP="00E81171">
      <w:pPr>
        <w:spacing w:line="240" w:lineRule="exact"/>
        <w:ind w:left="-709" w:right="-306" w:firstLine="567"/>
        <w:jc w:val="center"/>
        <w:rPr>
          <w:b/>
          <w:sz w:val="16"/>
          <w:szCs w:val="16"/>
        </w:rPr>
      </w:pPr>
    </w:p>
    <w:p w:rsidR="00C66892" w:rsidRPr="008139BB" w:rsidRDefault="00C66892" w:rsidP="00E81171">
      <w:pPr>
        <w:spacing w:line="240" w:lineRule="exact"/>
        <w:ind w:left="-709" w:right="-306" w:firstLine="567"/>
        <w:jc w:val="center"/>
        <w:rPr>
          <w:b/>
          <w:sz w:val="16"/>
          <w:szCs w:val="1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7476E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7476EE">
              <w:rPr>
                <w:spacing w:val="-8"/>
                <w:sz w:val="22"/>
                <w:szCs w:val="22"/>
              </w:rPr>
              <w:t>апрель</w:t>
            </w:r>
          </w:p>
        </w:tc>
      </w:tr>
      <w:tr w:rsidR="00E81171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0E1F15" w:rsidRPr="00693A73" w:rsidTr="00E840CF">
        <w:trPr>
          <w:trHeight w:val="2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E1F15" w:rsidRPr="006A177B" w:rsidRDefault="000E1F15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50C03">
              <w:rPr>
                <w:spacing w:val="-4"/>
                <w:sz w:val="24"/>
                <w:szCs w:val="24"/>
              </w:rPr>
              <w:t>100,6</w:t>
            </w:r>
          </w:p>
        </w:tc>
        <w:tc>
          <w:tcPr>
            <w:tcW w:w="934" w:type="dxa"/>
          </w:tcPr>
          <w:p w:rsidR="000E1F15" w:rsidRPr="006A177B" w:rsidRDefault="000E1F15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97,6</w:t>
            </w:r>
          </w:p>
        </w:tc>
      </w:tr>
      <w:tr w:rsidR="000E1F15" w:rsidRPr="00780EBC" w:rsidTr="00E840CF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E1F15" w:rsidRPr="006A177B" w:rsidRDefault="000E1F15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50C03">
              <w:rPr>
                <w:spacing w:val="-4"/>
                <w:sz w:val="24"/>
                <w:szCs w:val="24"/>
              </w:rPr>
              <w:t>162,3</w:t>
            </w:r>
          </w:p>
        </w:tc>
        <w:tc>
          <w:tcPr>
            <w:tcW w:w="934" w:type="dxa"/>
          </w:tcPr>
          <w:p w:rsidR="000E1F15" w:rsidRPr="006A177B" w:rsidRDefault="006A177B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125,2</w:t>
            </w:r>
          </w:p>
        </w:tc>
      </w:tr>
      <w:tr w:rsidR="000E1F15" w:rsidRPr="00780EBC" w:rsidTr="000B5355">
        <w:trPr>
          <w:trHeight w:val="4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102,2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E1F15" w:rsidRPr="006A177B" w:rsidRDefault="006A177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101,9</w:t>
            </w:r>
          </w:p>
        </w:tc>
      </w:tr>
      <w:tr w:rsidR="000E1F15" w:rsidRPr="00780EBC" w:rsidTr="00E840CF">
        <w:trPr>
          <w:trHeight w:val="203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102,9</w:t>
            </w:r>
          </w:p>
        </w:tc>
        <w:tc>
          <w:tcPr>
            <w:tcW w:w="934" w:type="dxa"/>
            <w:shd w:val="clear" w:color="auto" w:fill="auto"/>
          </w:tcPr>
          <w:p w:rsidR="000E1F15" w:rsidRPr="006A177B" w:rsidRDefault="006A177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104,3</w:t>
            </w:r>
          </w:p>
        </w:tc>
      </w:tr>
      <w:tr w:rsidR="000E1F15" w:rsidRPr="00780EBC" w:rsidTr="00E840CF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101,6</w:t>
            </w:r>
          </w:p>
        </w:tc>
        <w:tc>
          <w:tcPr>
            <w:tcW w:w="934" w:type="dxa"/>
            <w:shd w:val="clear" w:color="auto" w:fill="auto"/>
          </w:tcPr>
          <w:p w:rsidR="000E1F15" w:rsidRPr="006A177B" w:rsidRDefault="006A177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100,7</w:t>
            </w:r>
          </w:p>
        </w:tc>
      </w:tr>
      <w:tr w:rsidR="000E1F15" w:rsidRPr="00780EBC" w:rsidTr="00E840CF">
        <w:trPr>
          <w:trHeight w:val="231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102,3</w:t>
            </w:r>
          </w:p>
        </w:tc>
        <w:tc>
          <w:tcPr>
            <w:tcW w:w="934" w:type="dxa"/>
            <w:shd w:val="clear" w:color="auto" w:fill="auto"/>
          </w:tcPr>
          <w:p w:rsidR="000E1F15" w:rsidRPr="006A177B" w:rsidRDefault="006A177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100,1</w:t>
            </w:r>
          </w:p>
        </w:tc>
      </w:tr>
      <w:tr w:rsidR="002E1928" w:rsidRPr="00780EBC" w:rsidTr="000B535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7476E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7476EE">
              <w:rPr>
                <w:i/>
                <w:sz w:val="22"/>
                <w:szCs w:val="22"/>
              </w:rPr>
              <w:t>март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1928" w:rsidRPr="006A177B" w:rsidRDefault="006A177B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33934</w:t>
            </w:r>
          </w:p>
        </w:tc>
        <w:tc>
          <w:tcPr>
            <w:tcW w:w="934" w:type="dxa"/>
            <w:vAlign w:val="center"/>
          </w:tcPr>
          <w:p w:rsidR="002E1928" w:rsidRPr="006A177B" w:rsidRDefault="006A177B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37531</w:t>
            </w:r>
          </w:p>
        </w:tc>
      </w:tr>
      <w:tr w:rsidR="002E1928" w:rsidRPr="00780EBC" w:rsidTr="00E840CF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7476E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7476EE">
              <w:rPr>
                <w:i/>
                <w:sz w:val="22"/>
                <w:szCs w:val="22"/>
              </w:rPr>
              <w:t>март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2E1928" w:rsidRPr="006A177B" w:rsidRDefault="006A177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15818,1</w:t>
            </w:r>
          </w:p>
        </w:tc>
        <w:tc>
          <w:tcPr>
            <w:tcW w:w="934" w:type="dxa"/>
          </w:tcPr>
          <w:p w:rsidR="002E1928" w:rsidRPr="006A177B" w:rsidRDefault="006A177B" w:rsidP="006A177B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17736,8</w:t>
            </w:r>
          </w:p>
        </w:tc>
      </w:tr>
      <w:tr w:rsidR="000E1F15" w:rsidRPr="00780EBC" w:rsidTr="000E1F15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0,35</w:t>
            </w:r>
          </w:p>
        </w:tc>
        <w:tc>
          <w:tcPr>
            <w:tcW w:w="934" w:type="dxa"/>
            <w:vAlign w:val="center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0,34</w:t>
            </w:r>
          </w:p>
        </w:tc>
      </w:tr>
      <w:tr w:rsidR="000E1F15" w:rsidRPr="00780EBC" w:rsidTr="000B5355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0E1F15" w:rsidRPr="00562390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C66892" w:rsidRPr="008139BB" w:rsidRDefault="00C66892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8F3EDC" w:rsidRPr="00C66892" w:rsidRDefault="008F3EDC" w:rsidP="00E81171">
      <w:pPr>
        <w:tabs>
          <w:tab w:val="left" w:pos="1512"/>
        </w:tabs>
        <w:ind w:right="-307"/>
        <w:jc w:val="center"/>
        <w:rPr>
          <w:b/>
          <w:sz w:val="20"/>
          <w:szCs w:val="20"/>
        </w:rPr>
      </w:pP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0E1F15" w:rsidRPr="00A13AEE">
        <w:rPr>
          <w:spacing w:val="-4"/>
          <w:sz w:val="24"/>
          <w:szCs w:val="24"/>
        </w:rPr>
        <w:t>97,6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98,9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, в Российской Федерации – 99,4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0E1F15" w:rsidRPr="00A13AEE">
        <w:rPr>
          <w:spacing w:val="-4"/>
          <w:sz w:val="24"/>
          <w:szCs w:val="24"/>
        </w:rPr>
        <w:t>100,2</w:t>
      </w:r>
      <w:r w:rsidRPr="00DB27B0">
        <w:rPr>
          <w:spacing w:val="-4"/>
          <w:sz w:val="24"/>
          <w:szCs w:val="24"/>
        </w:rPr>
        <w:t xml:space="preserve">%, обеспечение электрической энергией, газом и паром; кондиционирование воздуха – </w:t>
      </w:r>
      <w:r w:rsidR="000E1F15" w:rsidRPr="00A13AEE">
        <w:rPr>
          <w:spacing w:val="-4"/>
          <w:sz w:val="24"/>
          <w:szCs w:val="24"/>
        </w:rPr>
        <w:t>87,8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0E1F15">
        <w:rPr>
          <w:spacing w:val="-4"/>
          <w:sz w:val="24"/>
          <w:szCs w:val="24"/>
        </w:rPr>
        <w:t>83,6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C66892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20"/>
          <w:szCs w:val="20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74815" cy="763270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="00C010BA">
        <w:rPr>
          <w:color w:val="000000"/>
          <w:spacing w:val="-4"/>
        </w:rPr>
        <w:t xml:space="preserve">в металлургии </w:t>
      </w:r>
      <w:r w:rsidR="008139BB">
        <w:rPr>
          <w:color w:val="000000"/>
          <w:spacing w:val="-4"/>
        </w:rPr>
        <w:br/>
      </w:r>
      <w:r w:rsidR="00C010BA" w:rsidRPr="00E16BBF">
        <w:rPr>
          <w:spacing w:val="-4"/>
        </w:rPr>
        <w:t>(</w:t>
      </w:r>
      <w:r w:rsidR="00C010BA" w:rsidRPr="00B960E8">
        <w:rPr>
          <w:color w:val="000000"/>
          <w:spacing w:val="-4"/>
        </w:rPr>
        <w:t>индекс производства</w:t>
      </w:r>
      <w:r w:rsidR="00C010BA">
        <w:rPr>
          <w:color w:val="000000"/>
          <w:spacing w:val="-4"/>
        </w:rPr>
        <w:t xml:space="preserve"> – </w:t>
      </w:r>
      <w:r w:rsidR="00C2407F">
        <w:rPr>
          <w:color w:val="000000"/>
          <w:spacing w:val="-4"/>
        </w:rPr>
        <w:t>172,1</w:t>
      </w:r>
      <w:r w:rsidR="00C010BA" w:rsidRPr="00B960E8">
        <w:rPr>
          <w:color w:val="000000"/>
          <w:spacing w:val="-4"/>
        </w:rPr>
        <w:t>%</w:t>
      </w:r>
      <w:r w:rsidR="00C010BA">
        <w:rPr>
          <w:color w:val="000000"/>
          <w:spacing w:val="-4"/>
        </w:rPr>
        <w:t xml:space="preserve">), </w:t>
      </w:r>
      <w:r w:rsidR="00C2407F">
        <w:rPr>
          <w:color w:val="000000"/>
          <w:spacing w:val="-4"/>
        </w:rPr>
        <w:t>в производстве химических веществ и продуктов (145,1</w:t>
      </w:r>
      <w:r w:rsidR="00C2407F" w:rsidRPr="00B960E8">
        <w:rPr>
          <w:color w:val="000000"/>
          <w:spacing w:val="-4"/>
        </w:rPr>
        <w:t>%</w:t>
      </w:r>
      <w:r w:rsidR="00C2407F">
        <w:rPr>
          <w:color w:val="000000"/>
          <w:spacing w:val="-4"/>
        </w:rPr>
        <w:t xml:space="preserve">), </w:t>
      </w:r>
      <w:r w:rsidR="00C010BA" w:rsidRPr="0024235B">
        <w:rPr>
          <w:spacing w:val="-4"/>
        </w:rPr>
        <w:t>готовых металлических изделий</w:t>
      </w:r>
      <w:r w:rsidR="00C010BA">
        <w:rPr>
          <w:color w:val="000000"/>
          <w:spacing w:val="-4"/>
        </w:rPr>
        <w:t xml:space="preserve"> (</w:t>
      </w:r>
      <w:r w:rsidR="00C2407F">
        <w:rPr>
          <w:color w:val="000000"/>
          <w:spacing w:val="-4"/>
        </w:rPr>
        <w:t>122,8</w:t>
      </w:r>
      <w:r w:rsidR="00C010BA" w:rsidRPr="00507AB0">
        <w:rPr>
          <w:color w:val="000000"/>
          <w:spacing w:val="-4"/>
        </w:rPr>
        <w:t>%</w:t>
      </w:r>
      <w:r w:rsidR="00C010BA">
        <w:rPr>
          <w:color w:val="000000"/>
          <w:spacing w:val="-4"/>
        </w:rPr>
        <w:t xml:space="preserve">), </w:t>
      </w:r>
      <w:r w:rsidR="00C010BA" w:rsidRPr="0024235B">
        <w:rPr>
          <w:spacing w:val="-4"/>
        </w:rPr>
        <w:t>машин и оборудования</w:t>
      </w:r>
      <w:r w:rsidR="00C010BA">
        <w:rPr>
          <w:color w:val="000000"/>
          <w:spacing w:val="-4"/>
        </w:rPr>
        <w:t xml:space="preserve"> (11</w:t>
      </w:r>
      <w:r w:rsidR="00C2407F">
        <w:rPr>
          <w:color w:val="000000"/>
          <w:spacing w:val="-4"/>
        </w:rPr>
        <w:t>0</w:t>
      </w:r>
      <w:r w:rsidR="00C010BA">
        <w:rPr>
          <w:color w:val="000000"/>
          <w:spacing w:val="-4"/>
        </w:rPr>
        <w:t>,</w:t>
      </w:r>
      <w:r w:rsidR="00C2407F">
        <w:rPr>
          <w:color w:val="000000"/>
          <w:spacing w:val="-4"/>
        </w:rPr>
        <w:t>8</w:t>
      </w:r>
      <w:r w:rsidR="00C010BA" w:rsidRPr="00B960E8">
        <w:rPr>
          <w:color w:val="000000"/>
          <w:spacing w:val="-4"/>
        </w:rPr>
        <w:t>%</w:t>
      </w:r>
      <w:r w:rsidR="00C010BA">
        <w:rPr>
          <w:color w:val="000000"/>
          <w:spacing w:val="-4"/>
        </w:rPr>
        <w:t xml:space="preserve">), </w:t>
      </w:r>
      <w:r w:rsidR="00C2407F">
        <w:rPr>
          <w:color w:val="000000"/>
          <w:spacing w:val="-4"/>
        </w:rPr>
        <w:t xml:space="preserve">кожи и изделий из </w:t>
      </w:r>
      <w:r w:rsidR="008139BB">
        <w:rPr>
          <w:color w:val="000000"/>
          <w:spacing w:val="-4"/>
        </w:rPr>
        <w:br/>
      </w:r>
      <w:r w:rsidR="00C2407F">
        <w:rPr>
          <w:color w:val="000000"/>
          <w:spacing w:val="-4"/>
        </w:rPr>
        <w:t>кожи (110,5</w:t>
      </w:r>
      <w:r w:rsidR="00C2407F" w:rsidRPr="00B960E8">
        <w:rPr>
          <w:color w:val="000000"/>
          <w:spacing w:val="-4"/>
        </w:rPr>
        <w:t>%</w:t>
      </w:r>
      <w:r w:rsidR="00C2407F">
        <w:rPr>
          <w:color w:val="000000"/>
          <w:spacing w:val="-4"/>
        </w:rPr>
        <w:t>), прочей неметаллической минеральной продукции</w:t>
      </w:r>
      <w:r w:rsidR="00C010BA">
        <w:rPr>
          <w:color w:val="000000"/>
          <w:spacing w:val="-4"/>
        </w:rPr>
        <w:t xml:space="preserve"> </w:t>
      </w:r>
      <w:r w:rsidR="00C010BA">
        <w:rPr>
          <w:spacing w:val="-4"/>
        </w:rPr>
        <w:t>(</w:t>
      </w:r>
      <w:r w:rsidR="00C2407F">
        <w:rPr>
          <w:color w:val="000000"/>
          <w:spacing w:val="-4"/>
        </w:rPr>
        <w:t>107,2</w:t>
      </w:r>
      <w:r w:rsidR="00C010BA" w:rsidRPr="00B960E8">
        <w:rPr>
          <w:color w:val="000000"/>
          <w:spacing w:val="-4"/>
        </w:rPr>
        <w:t>%)</w:t>
      </w:r>
      <w:r w:rsidR="00C2407F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</w:p>
    <w:p w:rsidR="00E81171" w:rsidRDefault="00E81171" w:rsidP="00F3662E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C2407F">
        <w:rPr>
          <w:color w:val="000000"/>
          <w:spacing w:val="-4"/>
        </w:rPr>
        <w:t>автотранспортных средств, прицепов и полуприцепов (98,9</w:t>
      </w:r>
      <w:r w:rsidR="00C2407F" w:rsidRPr="00B960E8">
        <w:rPr>
          <w:color w:val="000000"/>
          <w:spacing w:val="-4"/>
        </w:rPr>
        <w:t>%</w:t>
      </w:r>
      <w:r w:rsidR="00C2407F">
        <w:rPr>
          <w:color w:val="000000"/>
          <w:spacing w:val="-4"/>
        </w:rPr>
        <w:t>), одежды</w:t>
      </w:r>
      <w:r w:rsidR="00ED3B95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(</w:t>
      </w:r>
      <w:r w:rsidR="00C2407F">
        <w:rPr>
          <w:color w:val="000000"/>
          <w:spacing w:val="-4"/>
        </w:rPr>
        <w:t>97,9</w:t>
      </w:r>
      <w:r w:rsidRPr="00507AB0">
        <w:rPr>
          <w:color w:val="000000"/>
          <w:spacing w:val="-4"/>
        </w:rPr>
        <w:t>%</w:t>
      </w:r>
      <w:r>
        <w:rPr>
          <w:color w:val="000000"/>
          <w:spacing w:val="-4"/>
        </w:rPr>
        <w:t xml:space="preserve">), </w:t>
      </w:r>
      <w:r w:rsidR="00ED3B95" w:rsidRPr="0024235B">
        <w:rPr>
          <w:color w:val="000000"/>
          <w:spacing w:val="-4"/>
        </w:rPr>
        <w:t>электрического оборудования</w:t>
      </w:r>
      <w:r w:rsidR="00ED3B95">
        <w:rPr>
          <w:color w:val="000000"/>
          <w:spacing w:val="-4"/>
        </w:rPr>
        <w:t xml:space="preserve"> (</w:t>
      </w:r>
      <w:r w:rsidR="00C2407F">
        <w:rPr>
          <w:color w:val="000000"/>
          <w:spacing w:val="-4"/>
        </w:rPr>
        <w:t>97,3</w:t>
      </w:r>
      <w:r w:rsidR="00ED3B95" w:rsidRPr="00507AB0">
        <w:rPr>
          <w:color w:val="000000"/>
          <w:spacing w:val="-4"/>
        </w:rPr>
        <w:t>%</w:t>
      </w:r>
      <w:r w:rsidR="00ED3B95">
        <w:rPr>
          <w:color w:val="000000"/>
          <w:spacing w:val="-4"/>
        </w:rPr>
        <w:t>),</w:t>
      </w:r>
      <w:r w:rsidR="00C2407F">
        <w:rPr>
          <w:color w:val="000000"/>
          <w:spacing w:val="-4"/>
        </w:rPr>
        <w:t xml:space="preserve"> полиграфической деятельности (94,6</w:t>
      </w:r>
      <w:r w:rsidR="00C2407F" w:rsidRPr="00B960E8">
        <w:rPr>
          <w:color w:val="000000"/>
          <w:spacing w:val="-4"/>
        </w:rPr>
        <w:t>%</w:t>
      </w:r>
      <w:r w:rsidR="00C2407F">
        <w:rPr>
          <w:color w:val="000000"/>
          <w:spacing w:val="-4"/>
        </w:rPr>
        <w:t xml:space="preserve">), </w:t>
      </w:r>
      <w:r w:rsidR="00ED3B95">
        <w:rPr>
          <w:color w:val="000000"/>
          <w:spacing w:val="-4"/>
        </w:rPr>
        <w:t xml:space="preserve">бумаги и бумажных изделий </w:t>
      </w:r>
      <w:r>
        <w:rPr>
          <w:color w:val="000000"/>
          <w:spacing w:val="-4"/>
        </w:rPr>
        <w:t>(</w:t>
      </w:r>
      <w:r w:rsidR="00C2407F">
        <w:rPr>
          <w:color w:val="000000"/>
          <w:spacing w:val="-4"/>
        </w:rPr>
        <w:t>94,2</w:t>
      </w:r>
      <w:r w:rsidRPr="00507AB0">
        <w:rPr>
          <w:color w:val="000000"/>
          <w:spacing w:val="-4"/>
        </w:rPr>
        <w:t>%</w:t>
      </w:r>
      <w:r>
        <w:rPr>
          <w:color w:val="000000"/>
          <w:spacing w:val="-4"/>
        </w:rPr>
        <w:t>)</w:t>
      </w:r>
      <w:r w:rsidR="00C2407F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  <w:r w:rsidR="000B5355" w:rsidRPr="000B5355">
        <w:rPr>
          <w:color w:val="000000"/>
          <w:spacing w:val="-4"/>
        </w:rPr>
        <w:t xml:space="preserve"> </w:t>
      </w:r>
    </w:p>
    <w:p w:rsidR="00F3662E" w:rsidRPr="00C66892" w:rsidRDefault="00F3662E" w:rsidP="00F3662E">
      <w:pPr>
        <w:pStyle w:val="ab"/>
        <w:tabs>
          <w:tab w:val="left" w:pos="1512"/>
        </w:tabs>
        <w:ind w:right="-1" w:firstLine="709"/>
        <w:jc w:val="both"/>
        <w:rPr>
          <w:sz w:val="20"/>
          <w:szCs w:val="20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 xml:space="preserve">Индексы промышленного производства по районам города, </w:t>
      </w:r>
      <w:r w:rsidR="00603B7D" w:rsidRPr="00DB27B0">
        <w:rPr>
          <w:sz w:val="24"/>
          <w:szCs w:val="24"/>
        </w:rPr>
        <w:t>%</w:t>
      </w:r>
    </w:p>
    <w:p w:rsidR="00E81171" w:rsidRPr="00D743B7" w:rsidRDefault="0099475B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414" cy="954157"/>
            <wp:effectExtent l="0" t="0" r="0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EDC" w:rsidRPr="00C66892" w:rsidRDefault="008F3EDC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0"/>
          <w:szCs w:val="2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C66892" w:rsidRPr="00C66892" w:rsidRDefault="00C66892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0"/>
          <w:szCs w:val="20"/>
        </w:rPr>
      </w:pPr>
    </w:p>
    <w:p w:rsidR="00E81171" w:rsidRDefault="00E81171" w:rsidP="00693559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FA0375" w:rsidRPr="00693559">
        <w:rPr>
          <w:sz w:val="24"/>
          <w:szCs w:val="24"/>
        </w:rPr>
        <w:t>3910,7</w:t>
      </w:r>
      <w:r w:rsidR="00FA0375">
        <w:rPr>
          <w:rFonts w:ascii="Arial" w:hAnsi="Arial" w:cs="Arial"/>
          <w:color w:val="5B5B5B"/>
          <w:sz w:val="19"/>
          <w:szCs w:val="19"/>
          <w:shd w:val="clear" w:color="auto" w:fill="FFFFFF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FA0375" w:rsidRPr="00693559">
        <w:rPr>
          <w:sz w:val="24"/>
          <w:szCs w:val="24"/>
        </w:rPr>
        <w:t>96,9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FA0375">
        <w:rPr>
          <w:spacing w:val="-2"/>
          <w:sz w:val="24"/>
          <w:szCs w:val="24"/>
        </w:rPr>
        <w:t>27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FA0375" w:rsidRPr="00693559">
        <w:rPr>
          <w:spacing w:val="-2"/>
          <w:sz w:val="24"/>
          <w:szCs w:val="24"/>
        </w:rPr>
        <w:t>2192,1</w:t>
      </w:r>
      <w:r w:rsidR="00FA0375">
        <w:rPr>
          <w:rFonts w:ascii="Arial" w:eastAsia="Times New Roman" w:hAnsi="Arial" w:cs="Arial"/>
          <w:color w:val="5B5B5B"/>
          <w:sz w:val="19"/>
          <w:szCs w:val="19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FA0375" w:rsidRPr="00693559">
        <w:rPr>
          <w:spacing w:val="-2"/>
          <w:sz w:val="24"/>
          <w:szCs w:val="24"/>
        </w:rPr>
        <w:t>87,2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3B040B">
        <w:rPr>
          <w:spacing w:val="-2"/>
          <w:sz w:val="24"/>
          <w:szCs w:val="24"/>
        </w:rPr>
        <w:t>апрелю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FA0375" w:rsidRPr="00693559">
        <w:rPr>
          <w:spacing w:val="-2"/>
          <w:sz w:val="24"/>
          <w:szCs w:val="24"/>
        </w:rPr>
        <w:t>29,5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F3662E" w:rsidRDefault="00F3662E" w:rsidP="00E81171">
      <w:pPr>
        <w:ind w:firstLine="709"/>
        <w:jc w:val="both"/>
        <w:rPr>
          <w:spacing w:val="-2"/>
          <w:sz w:val="16"/>
          <w:szCs w:val="16"/>
        </w:rPr>
      </w:pPr>
    </w:p>
    <w:p w:rsidR="00C66892" w:rsidRDefault="00C66892" w:rsidP="00E81171">
      <w:pPr>
        <w:ind w:firstLine="709"/>
        <w:jc w:val="both"/>
        <w:rPr>
          <w:spacing w:val="-2"/>
          <w:sz w:val="16"/>
          <w:szCs w:val="16"/>
        </w:rPr>
      </w:pPr>
    </w:p>
    <w:p w:rsidR="00C66892" w:rsidRDefault="00C66892" w:rsidP="00E81171">
      <w:pPr>
        <w:ind w:firstLine="709"/>
        <w:jc w:val="both"/>
        <w:rPr>
          <w:spacing w:val="-2"/>
          <w:sz w:val="16"/>
          <w:szCs w:val="16"/>
        </w:rPr>
      </w:pPr>
    </w:p>
    <w:p w:rsidR="00C66892" w:rsidRDefault="00C66892" w:rsidP="00E81171">
      <w:pPr>
        <w:ind w:firstLine="709"/>
        <w:jc w:val="both"/>
        <w:rPr>
          <w:spacing w:val="-2"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8139BB" w:rsidRPr="00C66892" w:rsidRDefault="008139BB" w:rsidP="00E81171">
      <w:pPr>
        <w:tabs>
          <w:tab w:val="left" w:pos="1512"/>
        </w:tabs>
        <w:ind w:right="-1" w:firstLine="709"/>
        <w:jc w:val="center"/>
        <w:rPr>
          <w:sz w:val="20"/>
          <w:szCs w:val="20"/>
        </w:rPr>
      </w:pP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9968" cy="620202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171" w:rsidRDefault="00E81171" w:rsidP="006935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693559" w:rsidRPr="00693559">
        <w:rPr>
          <w:sz w:val="24"/>
          <w:szCs w:val="24"/>
        </w:rPr>
        <w:t>4011,8</w:t>
      </w:r>
      <w:r w:rsidR="00113038">
        <w:rPr>
          <w:rFonts w:ascii="Arial" w:eastAsia="Times New Roman" w:hAnsi="Arial" w:cs="Arial"/>
          <w:color w:val="5B5B5B"/>
          <w:sz w:val="19"/>
          <w:szCs w:val="19"/>
          <w:lang w:eastAsia="ru-RU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693559">
        <w:rPr>
          <w:sz w:val="24"/>
          <w:szCs w:val="24"/>
        </w:rPr>
        <w:t>107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693559" w:rsidRPr="00693559">
        <w:rPr>
          <w:sz w:val="24"/>
          <w:szCs w:val="24"/>
        </w:rPr>
        <w:t>25,6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18659D" w:rsidRPr="00C66892" w:rsidRDefault="0018659D" w:rsidP="00E81171">
      <w:pPr>
        <w:tabs>
          <w:tab w:val="left" w:pos="1512"/>
        </w:tabs>
        <w:jc w:val="center"/>
        <w:rPr>
          <w:b/>
          <w:sz w:val="20"/>
          <w:szCs w:val="20"/>
        </w:rPr>
      </w:pPr>
    </w:p>
    <w:p w:rsidR="00E81171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t xml:space="preserve">Бюджетные инвестиции </w:t>
      </w:r>
    </w:p>
    <w:p w:rsidR="00C66892" w:rsidRPr="00C66892" w:rsidRDefault="00C66892" w:rsidP="00E81171">
      <w:pPr>
        <w:tabs>
          <w:tab w:val="left" w:pos="1512"/>
        </w:tabs>
        <w:jc w:val="center"/>
        <w:rPr>
          <w:b/>
          <w:sz w:val="20"/>
          <w:szCs w:val="20"/>
        </w:rPr>
      </w:pPr>
    </w:p>
    <w:p w:rsidR="001843FE" w:rsidRDefault="001843FE" w:rsidP="001843F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 w:rsidRPr="001843FE">
        <w:rPr>
          <w:sz w:val="24"/>
          <w:szCs w:val="24"/>
        </w:rPr>
        <w:br/>
      </w:r>
      <w:r w:rsidR="009B15CB">
        <w:rPr>
          <w:bCs/>
          <w:sz w:val="22"/>
          <w:szCs w:val="22"/>
        </w:rPr>
        <w:t xml:space="preserve">120,8 </w:t>
      </w:r>
      <w:r w:rsidRPr="001843FE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9B15CB">
        <w:rPr>
          <w:sz w:val="24"/>
          <w:szCs w:val="24"/>
        </w:rPr>
        <w:t>20,6</w:t>
      </w:r>
      <w:r w:rsidRPr="001843FE">
        <w:rPr>
          <w:sz w:val="24"/>
          <w:szCs w:val="24"/>
        </w:rPr>
        <w:t>% (в 2019 году –</w:t>
      </w:r>
      <w:r>
        <w:rPr>
          <w:sz w:val="24"/>
          <w:szCs w:val="24"/>
        </w:rPr>
        <w:t xml:space="preserve"> </w:t>
      </w:r>
      <w:r w:rsidR="009B15CB">
        <w:rPr>
          <w:bCs/>
          <w:sz w:val="22"/>
          <w:szCs w:val="22"/>
        </w:rPr>
        <w:t xml:space="preserve">140,2 </w:t>
      </w:r>
      <w:r w:rsidRPr="001843FE">
        <w:rPr>
          <w:sz w:val="24"/>
          <w:szCs w:val="24"/>
        </w:rPr>
        <w:t>млн. рублей</w:t>
      </w:r>
      <w:r w:rsidRPr="001843FE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="009B15CB">
        <w:rPr>
          <w:sz w:val="24"/>
          <w:szCs w:val="24"/>
        </w:rPr>
        <w:t>27,2</w:t>
      </w:r>
      <w:r w:rsidRPr="001843FE">
        <w:rPr>
          <w:sz w:val="24"/>
          <w:szCs w:val="24"/>
        </w:rPr>
        <w:t>% соответственно).</w:t>
      </w:r>
    </w:p>
    <w:p w:rsidR="00F3662E" w:rsidRPr="00C66892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20"/>
          <w:szCs w:val="20"/>
        </w:rPr>
      </w:pPr>
    </w:p>
    <w:p w:rsidR="00E81171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C66892" w:rsidRPr="00C66892" w:rsidRDefault="00C66892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0"/>
          <w:szCs w:val="20"/>
        </w:rPr>
      </w:pPr>
    </w:p>
    <w:p w:rsidR="00113038" w:rsidRDefault="00113038" w:rsidP="004406FF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13038">
        <w:rPr>
          <w:sz w:val="24"/>
          <w:szCs w:val="24"/>
        </w:rPr>
        <w:t xml:space="preserve">Организациями всех форм собственности и индивидуальными застройщиками введены в действие жилые дома общей площадью </w:t>
      </w:r>
      <w:r w:rsidR="003B040B" w:rsidRPr="006B7D1D">
        <w:rPr>
          <w:sz w:val="24"/>
          <w:szCs w:val="24"/>
        </w:rPr>
        <w:t>125,2</w:t>
      </w:r>
      <w:r w:rsidR="003B040B">
        <w:t xml:space="preserve"> </w:t>
      </w:r>
      <w:r w:rsidRPr="00113038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="00ED53A7">
        <w:rPr>
          <w:sz w:val="24"/>
          <w:szCs w:val="24"/>
        </w:rPr>
        <w:t>кв</w:t>
      </w:r>
      <w:proofErr w:type="gramStart"/>
      <w:r w:rsidR="00ED53A7">
        <w:rPr>
          <w:sz w:val="24"/>
          <w:szCs w:val="24"/>
        </w:rPr>
        <w:t>.</w:t>
      </w:r>
      <w:r w:rsidRPr="00113038">
        <w:rPr>
          <w:sz w:val="24"/>
          <w:szCs w:val="24"/>
        </w:rPr>
        <w:t>м</w:t>
      </w:r>
      <w:proofErr w:type="gramEnd"/>
      <w:r w:rsidR="009B15CB">
        <w:rPr>
          <w:sz w:val="24"/>
          <w:szCs w:val="24"/>
        </w:rPr>
        <w:t xml:space="preserve"> </w:t>
      </w:r>
      <w:r w:rsidR="009B15CB" w:rsidRPr="00643BBB">
        <w:rPr>
          <w:spacing w:val="-8"/>
          <w:sz w:val="24"/>
          <w:szCs w:val="24"/>
        </w:rPr>
        <w:t>(</w:t>
      </w:r>
      <w:r w:rsidR="009B15CB" w:rsidRPr="00643BBB">
        <w:rPr>
          <w:spacing w:val="-6"/>
          <w:sz w:val="24"/>
          <w:szCs w:val="24"/>
        </w:rPr>
        <w:t>за январь-апрель</w:t>
      </w:r>
      <w:r w:rsidR="009B15CB">
        <w:rPr>
          <w:spacing w:val="-6"/>
          <w:sz w:val="24"/>
          <w:szCs w:val="24"/>
        </w:rPr>
        <w:t xml:space="preserve"> </w:t>
      </w:r>
      <w:r w:rsidR="009B15CB" w:rsidRPr="00643BBB">
        <w:rPr>
          <w:spacing w:val="-6"/>
          <w:sz w:val="24"/>
          <w:szCs w:val="24"/>
        </w:rPr>
        <w:t>201</w:t>
      </w:r>
      <w:r w:rsidR="009B15CB">
        <w:rPr>
          <w:spacing w:val="-6"/>
          <w:sz w:val="24"/>
          <w:szCs w:val="24"/>
        </w:rPr>
        <w:t>9</w:t>
      </w:r>
      <w:r w:rsidR="009B15CB" w:rsidRPr="00643BBB">
        <w:rPr>
          <w:spacing w:val="-6"/>
          <w:sz w:val="24"/>
          <w:szCs w:val="24"/>
        </w:rPr>
        <w:t xml:space="preserve"> года</w:t>
      </w:r>
      <w:r w:rsidR="009B15CB">
        <w:rPr>
          <w:spacing w:val="-6"/>
          <w:sz w:val="24"/>
          <w:szCs w:val="24"/>
        </w:rPr>
        <w:t xml:space="preserve"> </w:t>
      </w:r>
      <w:r w:rsidR="009B15CB">
        <w:rPr>
          <w:sz w:val="24"/>
          <w:szCs w:val="24"/>
        </w:rPr>
        <w:t xml:space="preserve">162,3 </w:t>
      </w:r>
      <w:r w:rsidR="009B15CB">
        <w:rPr>
          <w:spacing w:val="-6"/>
          <w:sz w:val="24"/>
          <w:szCs w:val="24"/>
        </w:rPr>
        <w:t>тыс. кв.м</w:t>
      </w:r>
      <w:r w:rsidR="009B15CB" w:rsidRPr="00643BBB">
        <w:rPr>
          <w:spacing w:val="-6"/>
          <w:sz w:val="24"/>
          <w:szCs w:val="24"/>
        </w:rPr>
        <w:t>)</w:t>
      </w:r>
      <w:r w:rsidRPr="00113038">
        <w:rPr>
          <w:sz w:val="24"/>
          <w:szCs w:val="24"/>
        </w:rPr>
        <w:t xml:space="preserve">, что составляет </w:t>
      </w:r>
      <w:r w:rsidR="009B15CB">
        <w:rPr>
          <w:sz w:val="24"/>
          <w:szCs w:val="24"/>
        </w:rPr>
        <w:t>68,2</w:t>
      </w:r>
      <w:r w:rsidR="00603B7D" w:rsidRPr="00DB27B0">
        <w:rPr>
          <w:sz w:val="24"/>
          <w:szCs w:val="24"/>
        </w:rPr>
        <w:t>%</w:t>
      </w:r>
      <w:r w:rsidRPr="00113038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99475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599582" cy="747422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C66892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E81171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843FE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C66892" w:rsidRPr="00C66892" w:rsidRDefault="00C66892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E81171" w:rsidRPr="001843FE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1843FE">
        <w:rPr>
          <w:sz w:val="24"/>
          <w:szCs w:val="24"/>
        </w:rPr>
        <w:br/>
      </w:r>
      <w:r w:rsidR="0042482C" w:rsidRPr="0042482C">
        <w:rPr>
          <w:sz w:val="24"/>
          <w:szCs w:val="24"/>
        </w:rPr>
        <w:t>587 заявок</w:t>
      </w:r>
      <w:r w:rsidR="0042482C" w:rsidRPr="001843F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42482C" w:rsidRPr="0042482C">
        <w:rPr>
          <w:sz w:val="24"/>
          <w:szCs w:val="24"/>
        </w:rPr>
        <w:t>1513,2</w:t>
      </w:r>
      <w:r w:rsidR="0042482C" w:rsidRPr="00AE22D4">
        <w:rPr>
          <w:rFonts w:eastAsia="Times New Roman"/>
        </w:rPr>
        <w:t xml:space="preserve"> </w:t>
      </w:r>
      <w:r w:rsidRPr="001843FE">
        <w:rPr>
          <w:sz w:val="24"/>
          <w:szCs w:val="24"/>
        </w:rPr>
        <w:t>млн. рублей      (за январь-</w:t>
      </w:r>
      <w:r w:rsidR="0042482C">
        <w:rPr>
          <w:sz w:val="24"/>
          <w:szCs w:val="24"/>
        </w:rPr>
        <w:t xml:space="preserve">апрель </w:t>
      </w:r>
      <w:r w:rsidRPr="001843FE">
        <w:rPr>
          <w:sz w:val="24"/>
          <w:szCs w:val="24"/>
        </w:rPr>
        <w:t>201</w:t>
      </w:r>
      <w:r w:rsidR="00775D70" w:rsidRPr="001843FE">
        <w:rPr>
          <w:sz w:val="24"/>
          <w:szCs w:val="24"/>
        </w:rPr>
        <w:t>9</w:t>
      </w:r>
      <w:r w:rsidRPr="001843FE">
        <w:rPr>
          <w:sz w:val="24"/>
          <w:szCs w:val="24"/>
        </w:rPr>
        <w:t xml:space="preserve"> года – </w:t>
      </w:r>
      <w:r w:rsidR="0042482C">
        <w:rPr>
          <w:sz w:val="24"/>
          <w:szCs w:val="24"/>
        </w:rPr>
        <w:t>578</w:t>
      </w:r>
      <w:r w:rsidR="0042482C" w:rsidRPr="000C71A0">
        <w:rPr>
          <w:sz w:val="24"/>
          <w:szCs w:val="24"/>
        </w:rPr>
        <w:t xml:space="preserve"> заяв</w:t>
      </w:r>
      <w:r w:rsidR="0042482C">
        <w:rPr>
          <w:sz w:val="24"/>
          <w:szCs w:val="24"/>
        </w:rPr>
        <w:t>ок</w:t>
      </w:r>
      <w:r w:rsidR="0042482C" w:rsidRPr="000C71A0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</w:t>
      </w:r>
      <w:r w:rsidR="0042482C">
        <w:rPr>
          <w:sz w:val="24"/>
          <w:szCs w:val="24"/>
        </w:rPr>
        <w:t xml:space="preserve">2526,5 </w:t>
      </w:r>
      <w:r w:rsidRPr="001843FE">
        <w:rPr>
          <w:sz w:val="24"/>
          <w:szCs w:val="24"/>
        </w:rPr>
        <w:t>млн. рублей соответственно).</w:t>
      </w:r>
    </w:p>
    <w:p w:rsidR="0042482C" w:rsidRPr="0042482C" w:rsidRDefault="0042482C" w:rsidP="0042482C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42482C">
        <w:rPr>
          <w:sz w:val="24"/>
          <w:szCs w:val="24"/>
        </w:rPr>
        <w:t>С начала года на сайте размещено 400 заявок на сумму 1218,2 млн.</w:t>
      </w:r>
      <w:r>
        <w:rPr>
          <w:sz w:val="24"/>
          <w:szCs w:val="24"/>
        </w:rPr>
        <w:t xml:space="preserve"> </w:t>
      </w:r>
      <w:r w:rsidRPr="0042482C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42482C">
        <w:rPr>
          <w:sz w:val="24"/>
          <w:szCs w:val="24"/>
        </w:rPr>
        <w:t>. По итогам завершенных процедур подлежит заключению 318 контрактов на сумму 1011,3 млн.</w:t>
      </w:r>
      <w:r>
        <w:rPr>
          <w:sz w:val="24"/>
          <w:szCs w:val="24"/>
        </w:rPr>
        <w:t xml:space="preserve"> </w:t>
      </w:r>
      <w:r w:rsidRPr="0042482C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42482C">
        <w:rPr>
          <w:sz w:val="24"/>
          <w:szCs w:val="24"/>
        </w:rPr>
        <w:t>, из них заключено 248 контрактов на сумму 464,3 млн.</w:t>
      </w:r>
      <w:r>
        <w:rPr>
          <w:sz w:val="24"/>
          <w:szCs w:val="24"/>
        </w:rPr>
        <w:t xml:space="preserve"> </w:t>
      </w:r>
      <w:r w:rsidRPr="0042482C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42482C">
        <w:rPr>
          <w:sz w:val="24"/>
          <w:szCs w:val="24"/>
        </w:rPr>
        <w:t>. Экономия составила 67 млн.</w:t>
      </w:r>
      <w:r>
        <w:rPr>
          <w:sz w:val="24"/>
          <w:szCs w:val="24"/>
        </w:rPr>
        <w:t xml:space="preserve"> </w:t>
      </w:r>
      <w:r w:rsidRPr="0042482C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42482C">
        <w:rPr>
          <w:sz w:val="24"/>
          <w:szCs w:val="24"/>
        </w:rPr>
        <w:t xml:space="preserve">. </w:t>
      </w:r>
    </w:p>
    <w:p w:rsidR="001908F8" w:rsidRPr="00C66892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0"/>
          <w:szCs w:val="20"/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C66892" w:rsidRPr="00C66892" w:rsidRDefault="00C66892" w:rsidP="00E81171">
      <w:pPr>
        <w:pStyle w:val="ab"/>
        <w:tabs>
          <w:tab w:val="left" w:pos="1512"/>
        </w:tabs>
        <w:ind w:right="-143"/>
        <w:jc w:val="center"/>
        <w:rPr>
          <w:b/>
          <w:bCs/>
          <w:sz w:val="20"/>
          <w:szCs w:val="20"/>
        </w:rPr>
      </w:pPr>
    </w:p>
    <w:p w:rsidR="001E3843" w:rsidRPr="007B30A3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B30A3">
        <w:rPr>
          <w:sz w:val="24"/>
          <w:szCs w:val="24"/>
        </w:rPr>
        <w:t>Заработная плата по крупным и средним организациям за январь</w:t>
      </w:r>
      <w:r w:rsidR="007B30A3" w:rsidRPr="007B30A3">
        <w:rPr>
          <w:sz w:val="24"/>
          <w:szCs w:val="24"/>
        </w:rPr>
        <w:t>-</w:t>
      </w:r>
      <w:r w:rsidR="00E85346">
        <w:rPr>
          <w:sz w:val="24"/>
          <w:szCs w:val="24"/>
        </w:rPr>
        <w:t>март</w:t>
      </w:r>
      <w:r w:rsidRPr="007B30A3">
        <w:rPr>
          <w:sz w:val="24"/>
          <w:szCs w:val="24"/>
        </w:rPr>
        <w:t xml:space="preserve"> 2020 года увеличилась на 10</w:t>
      </w:r>
      <w:r w:rsidR="00E85346">
        <w:rPr>
          <w:sz w:val="24"/>
          <w:szCs w:val="24"/>
        </w:rPr>
        <w:t>,8</w:t>
      </w:r>
      <w:r w:rsidR="00603B7D" w:rsidRPr="00DB27B0">
        <w:rPr>
          <w:sz w:val="24"/>
          <w:szCs w:val="24"/>
        </w:rPr>
        <w:t>%</w:t>
      </w:r>
      <w:r w:rsidRPr="007B30A3">
        <w:rPr>
          <w:sz w:val="24"/>
          <w:szCs w:val="24"/>
        </w:rPr>
        <w:t xml:space="preserve"> к январю</w:t>
      </w:r>
      <w:r w:rsidR="007B30A3" w:rsidRPr="007B30A3">
        <w:rPr>
          <w:sz w:val="24"/>
          <w:szCs w:val="24"/>
        </w:rPr>
        <w:t>-</w:t>
      </w:r>
      <w:r w:rsidR="00E85346">
        <w:rPr>
          <w:sz w:val="24"/>
          <w:szCs w:val="24"/>
        </w:rPr>
        <w:t>марту</w:t>
      </w:r>
      <w:r w:rsidRPr="007B30A3">
        <w:rPr>
          <w:sz w:val="24"/>
          <w:szCs w:val="24"/>
        </w:rPr>
        <w:t xml:space="preserve"> 2019 год</w:t>
      </w:r>
      <w:r w:rsidR="00F33A7B" w:rsidRPr="007B30A3">
        <w:rPr>
          <w:sz w:val="24"/>
          <w:szCs w:val="24"/>
        </w:rPr>
        <w:t>а</w:t>
      </w:r>
      <w:r w:rsidRPr="007B30A3">
        <w:rPr>
          <w:sz w:val="24"/>
          <w:szCs w:val="24"/>
        </w:rPr>
        <w:t xml:space="preserve"> и составила </w:t>
      </w:r>
      <w:r w:rsidR="00E85346" w:rsidRPr="00E85346">
        <w:rPr>
          <w:sz w:val="24"/>
          <w:szCs w:val="24"/>
        </w:rPr>
        <w:t>37531</w:t>
      </w:r>
      <w:r w:rsidRPr="007B30A3">
        <w:rPr>
          <w:sz w:val="24"/>
          <w:szCs w:val="24"/>
        </w:rPr>
        <w:t xml:space="preserve"> рубл</w:t>
      </w:r>
      <w:r w:rsidR="00E85346">
        <w:rPr>
          <w:sz w:val="24"/>
          <w:szCs w:val="24"/>
        </w:rPr>
        <w:t>ь</w:t>
      </w:r>
      <w:r w:rsidRPr="007B30A3">
        <w:rPr>
          <w:sz w:val="24"/>
          <w:szCs w:val="24"/>
        </w:rPr>
        <w:t>.</w:t>
      </w:r>
    </w:p>
    <w:p w:rsidR="00F33A7B" w:rsidRPr="005F7BF3" w:rsidRDefault="00DF04B7" w:rsidP="00F33A7B">
      <w:pPr>
        <w:tabs>
          <w:tab w:val="left" w:pos="1512"/>
        </w:tabs>
        <w:ind w:right="-1" w:firstLine="709"/>
        <w:jc w:val="both"/>
        <w:rPr>
          <w:sz w:val="24"/>
          <w:szCs w:val="24"/>
          <w:highlight w:val="yellow"/>
        </w:rPr>
      </w:pPr>
      <w:r w:rsidRPr="00BA4616">
        <w:rPr>
          <w:sz w:val="24"/>
          <w:szCs w:val="24"/>
        </w:rPr>
        <w:t xml:space="preserve">Наибольший </w:t>
      </w:r>
      <w:proofErr w:type="gramStart"/>
      <w:r w:rsidRPr="00BA4616">
        <w:rPr>
          <w:sz w:val="24"/>
          <w:szCs w:val="24"/>
        </w:rPr>
        <w:t>размер оплаты труда</w:t>
      </w:r>
      <w:proofErr w:type="gramEnd"/>
      <w:r w:rsidRPr="00BA4616">
        <w:rPr>
          <w:sz w:val="24"/>
          <w:szCs w:val="24"/>
        </w:rPr>
        <w:t xml:space="preserve"> наблюдается в деятельности</w:t>
      </w:r>
      <w:r w:rsidRPr="00BA4616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BA4616">
        <w:rPr>
          <w:sz w:val="24"/>
          <w:szCs w:val="24"/>
        </w:rPr>
        <w:t>воздушного и космического транспорта (</w:t>
      </w:r>
      <w:r w:rsidR="00E85346" w:rsidRPr="00E85346">
        <w:rPr>
          <w:sz w:val="24"/>
          <w:szCs w:val="24"/>
        </w:rPr>
        <w:t>56886</w:t>
      </w:r>
      <w:r w:rsidRPr="00BA4616">
        <w:rPr>
          <w:sz w:val="24"/>
          <w:szCs w:val="24"/>
        </w:rPr>
        <w:t xml:space="preserve"> рублей), </w:t>
      </w:r>
      <w:r w:rsidR="00E85346" w:rsidRPr="00BA4616">
        <w:rPr>
          <w:sz w:val="24"/>
          <w:szCs w:val="24"/>
        </w:rPr>
        <w:t>финансовой и страховой деятельности (</w:t>
      </w:r>
      <w:r w:rsidR="00E85346" w:rsidRPr="00E85346">
        <w:rPr>
          <w:sz w:val="24"/>
          <w:szCs w:val="24"/>
        </w:rPr>
        <w:t>56849</w:t>
      </w:r>
      <w:r w:rsidR="00E85346" w:rsidRPr="00BA4616">
        <w:rPr>
          <w:sz w:val="24"/>
          <w:szCs w:val="24"/>
        </w:rPr>
        <w:t xml:space="preserve"> рубл</w:t>
      </w:r>
      <w:r w:rsidR="00E85346">
        <w:rPr>
          <w:sz w:val="24"/>
          <w:szCs w:val="24"/>
        </w:rPr>
        <w:t>ей)</w:t>
      </w:r>
      <w:r w:rsidR="00E85346" w:rsidRPr="00BA4616">
        <w:rPr>
          <w:sz w:val="24"/>
          <w:szCs w:val="24"/>
        </w:rPr>
        <w:t xml:space="preserve"> </w:t>
      </w:r>
      <w:r w:rsidRPr="00BA4616">
        <w:rPr>
          <w:sz w:val="24"/>
          <w:szCs w:val="24"/>
        </w:rPr>
        <w:t>железнодорожного транспорта: грузовых перевозках (</w:t>
      </w:r>
      <w:r w:rsidR="00E85346" w:rsidRPr="00E85346">
        <w:rPr>
          <w:sz w:val="24"/>
          <w:szCs w:val="24"/>
        </w:rPr>
        <w:t>54180</w:t>
      </w:r>
      <w:r w:rsidRPr="00BA4616">
        <w:rPr>
          <w:sz w:val="24"/>
          <w:szCs w:val="24"/>
        </w:rPr>
        <w:t xml:space="preserve"> рубл</w:t>
      </w:r>
      <w:r w:rsidR="00BA4616" w:rsidRPr="00BA4616">
        <w:rPr>
          <w:sz w:val="24"/>
          <w:szCs w:val="24"/>
        </w:rPr>
        <w:t>ей</w:t>
      </w:r>
      <w:r w:rsidRPr="00BA4616">
        <w:rPr>
          <w:sz w:val="24"/>
          <w:szCs w:val="24"/>
        </w:rPr>
        <w:t>). Наибольший темп роста заработной платы сложился</w:t>
      </w:r>
      <w:r w:rsidRPr="00BA4616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F33A7B" w:rsidRPr="00BA4616">
        <w:rPr>
          <w:sz w:val="24"/>
          <w:szCs w:val="24"/>
        </w:rPr>
        <w:t xml:space="preserve">в </w:t>
      </w:r>
      <w:r w:rsidR="00E85346">
        <w:rPr>
          <w:sz w:val="24"/>
          <w:szCs w:val="24"/>
        </w:rPr>
        <w:t xml:space="preserve">рыболовстве и рыбоводстве – </w:t>
      </w:r>
      <w:r w:rsidR="00F8432B">
        <w:rPr>
          <w:sz w:val="24"/>
          <w:szCs w:val="24"/>
        </w:rPr>
        <w:t>136,</w:t>
      </w:r>
      <w:r w:rsidR="00E85346" w:rsidRPr="00F8432B">
        <w:rPr>
          <w:sz w:val="24"/>
          <w:szCs w:val="24"/>
        </w:rPr>
        <w:t>1</w:t>
      </w:r>
      <w:r w:rsidR="00E85346" w:rsidRPr="00BA4616">
        <w:rPr>
          <w:sz w:val="24"/>
          <w:szCs w:val="24"/>
        </w:rPr>
        <w:t>%</w:t>
      </w:r>
      <w:r w:rsidR="00E85346">
        <w:rPr>
          <w:sz w:val="24"/>
          <w:szCs w:val="24"/>
        </w:rPr>
        <w:t xml:space="preserve">, </w:t>
      </w:r>
      <w:r w:rsidR="008E656B" w:rsidRPr="00BA4616">
        <w:rPr>
          <w:sz w:val="24"/>
          <w:szCs w:val="24"/>
        </w:rPr>
        <w:t xml:space="preserve">производстве </w:t>
      </w:r>
      <w:r w:rsidR="00E85346" w:rsidRPr="00E85346">
        <w:rPr>
          <w:sz w:val="24"/>
          <w:szCs w:val="24"/>
        </w:rPr>
        <w:t>химических веществ и продуктов</w:t>
      </w:r>
      <w:r w:rsidR="00E85346">
        <w:rPr>
          <w:sz w:val="24"/>
          <w:szCs w:val="24"/>
        </w:rPr>
        <w:t xml:space="preserve"> </w:t>
      </w:r>
      <w:r w:rsidR="00F57663" w:rsidRPr="00BA4616">
        <w:rPr>
          <w:sz w:val="24"/>
          <w:szCs w:val="24"/>
        </w:rPr>
        <w:t xml:space="preserve">– </w:t>
      </w:r>
      <w:r w:rsidR="00E85346">
        <w:rPr>
          <w:sz w:val="24"/>
          <w:szCs w:val="24"/>
        </w:rPr>
        <w:t>120,3</w:t>
      </w:r>
      <w:r w:rsidR="00F57663" w:rsidRPr="00BA4616">
        <w:rPr>
          <w:sz w:val="24"/>
          <w:szCs w:val="24"/>
        </w:rPr>
        <w:t>%</w:t>
      </w:r>
      <w:r w:rsidR="008E656B" w:rsidRPr="00BA4616">
        <w:rPr>
          <w:sz w:val="24"/>
          <w:szCs w:val="24"/>
        </w:rPr>
        <w:t xml:space="preserve">, </w:t>
      </w:r>
      <w:r w:rsidR="00E85346">
        <w:rPr>
          <w:sz w:val="24"/>
          <w:szCs w:val="24"/>
        </w:rPr>
        <w:t xml:space="preserve">в </w:t>
      </w:r>
      <w:r w:rsidR="00E85346" w:rsidRPr="00E85346">
        <w:rPr>
          <w:sz w:val="24"/>
          <w:szCs w:val="24"/>
        </w:rPr>
        <w:t>деятельности автомобильного грузового транспорта и услугах по перевозкам</w:t>
      </w:r>
      <w:r w:rsidR="00E85346" w:rsidRPr="00BA4616">
        <w:rPr>
          <w:sz w:val="24"/>
          <w:szCs w:val="24"/>
        </w:rPr>
        <w:t xml:space="preserve"> </w:t>
      </w:r>
      <w:r w:rsidR="00BA4616" w:rsidRPr="00BA4616">
        <w:rPr>
          <w:sz w:val="24"/>
          <w:szCs w:val="24"/>
        </w:rPr>
        <w:t>– 12</w:t>
      </w:r>
      <w:r w:rsidR="00E85346">
        <w:rPr>
          <w:sz w:val="24"/>
          <w:szCs w:val="24"/>
        </w:rPr>
        <w:t>0</w:t>
      </w:r>
      <w:r w:rsidR="00BA4616" w:rsidRPr="00BA4616">
        <w:rPr>
          <w:sz w:val="24"/>
          <w:szCs w:val="24"/>
        </w:rPr>
        <w:t>,</w:t>
      </w:r>
      <w:r w:rsidR="00E85346">
        <w:rPr>
          <w:sz w:val="24"/>
          <w:szCs w:val="24"/>
        </w:rPr>
        <w:t>2</w:t>
      </w:r>
      <w:r w:rsidR="00BA4616" w:rsidRPr="00BA4616">
        <w:rPr>
          <w:sz w:val="24"/>
          <w:szCs w:val="24"/>
        </w:rPr>
        <w:t>%</w:t>
      </w:r>
      <w:bookmarkStart w:id="0" w:name="_GoBack"/>
      <w:bookmarkEnd w:id="0"/>
      <w:r w:rsidR="00A20CFE">
        <w:rPr>
          <w:sz w:val="24"/>
          <w:szCs w:val="24"/>
        </w:rPr>
        <w:t>.</w:t>
      </w:r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B0566">
        <w:rPr>
          <w:sz w:val="24"/>
          <w:szCs w:val="24"/>
        </w:rPr>
        <w:t xml:space="preserve">По данным </w:t>
      </w:r>
      <w:proofErr w:type="spellStart"/>
      <w:r w:rsidRPr="007B0566">
        <w:rPr>
          <w:sz w:val="24"/>
          <w:szCs w:val="24"/>
        </w:rPr>
        <w:t>Алтайкрайстата</w:t>
      </w:r>
      <w:proofErr w:type="spellEnd"/>
      <w:r w:rsidRPr="007B0566">
        <w:rPr>
          <w:sz w:val="24"/>
          <w:szCs w:val="24"/>
        </w:rPr>
        <w:t xml:space="preserve"> на </w:t>
      </w:r>
      <w:r w:rsidR="006B2A90" w:rsidRPr="007B0566">
        <w:rPr>
          <w:sz w:val="24"/>
          <w:szCs w:val="24"/>
        </w:rPr>
        <w:t>01.0</w:t>
      </w:r>
      <w:r w:rsidR="00F8432B">
        <w:rPr>
          <w:sz w:val="24"/>
          <w:szCs w:val="24"/>
        </w:rPr>
        <w:t>5</w:t>
      </w:r>
      <w:r w:rsidRPr="007B0566">
        <w:rPr>
          <w:sz w:val="24"/>
          <w:szCs w:val="24"/>
        </w:rPr>
        <w:t>.</w:t>
      </w:r>
      <w:r w:rsidR="006B2A90" w:rsidRPr="007B0566">
        <w:rPr>
          <w:sz w:val="24"/>
          <w:szCs w:val="24"/>
        </w:rPr>
        <w:t>2020</w:t>
      </w:r>
      <w:r w:rsidRPr="007B0566">
        <w:rPr>
          <w:sz w:val="24"/>
          <w:szCs w:val="24"/>
        </w:rPr>
        <w:t xml:space="preserve"> не погашена просроченная задолженность             по заработной плате в размере </w:t>
      </w:r>
      <w:r w:rsidR="00E82ADA" w:rsidRPr="007B0566">
        <w:rPr>
          <w:sz w:val="24"/>
          <w:szCs w:val="24"/>
        </w:rPr>
        <w:t>8,</w:t>
      </w:r>
      <w:r w:rsidR="00F8432B">
        <w:rPr>
          <w:sz w:val="24"/>
          <w:szCs w:val="24"/>
        </w:rPr>
        <w:t>4</w:t>
      </w:r>
      <w:r w:rsidRPr="007B0566">
        <w:rPr>
          <w:sz w:val="24"/>
          <w:szCs w:val="24"/>
        </w:rPr>
        <w:t xml:space="preserve"> млн. рублей.</w:t>
      </w:r>
    </w:p>
    <w:p w:rsidR="00F3662E" w:rsidRPr="00C66892" w:rsidRDefault="00F3662E" w:rsidP="00E81171">
      <w:pPr>
        <w:tabs>
          <w:tab w:val="left" w:pos="1512"/>
        </w:tabs>
        <w:ind w:right="-143" w:firstLine="709"/>
        <w:jc w:val="both"/>
        <w:rPr>
          <w:sz w:val="20"/>
          <w:szCs w:val="20"/>
        </w:rPr>
      </w:pPr>
    </w:p>
    <w:p w:rsidR="00E81171" w:rsidRPr="00E9790D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F14485">
        <w:rPr>
          <w:b/>
          <w:sz w:val="24"/>
          <w:szCs w:val="24"/>
        </w:rPr>
        <w:t>росроченн</w:t>
      </w:r>
      <w:r>
        <w:rPr>
          <w:b/>
          <w:sz w:val="24"/>
          <w:szCs w:val="24"/>
        </w:rPr>
        <w:t>ая</w:t>
      </w:r>
      <w:r w:rsidRPr="00F14485">
        <w:rPr>
          <w:b/>
          <w:sz w:val="24"/>
          <w:szCs w:val="24"/>
        </w:rPr>
        <w:t xml:space="preserve"> задолженност</w:t>
      </w:r>
      <w:r>
        <w:rPr>
          <w:b/>
          <w:sz w:val="24"/>
          <w:szCs w:val="24"/>
        </w:rPr>
        <w:t>ь</w:t>
      </w:r>
      <w:r w:rsidRPr="00F14485">
        <w:rPr>
          <w:b/>
          <w:sz w:val="24"/>
          <w:szCs w:val="24"/>
        </w:rPr>
        <w:t xml:space="preserve"> по заработной плате, млн. рублей</w:t>
      </w:r>
    </w:p>
    <w:p w:rsidR="00E81171" w:rsidRDefault="0099475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82" cy="795131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B040B" w:rsidRDefault="003B040B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3B040B" w:rsidRDefault="003B040B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8139BB" w:rsidRDefault="008139BB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8139BB" w:rsidRDefault="008139BB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3331B6" w:rsidRPr="0027439A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t>Цены</w:t>
      </w:r>
    </w:p>
    <w:p w:rsidR="00C76FBD" w:rsidRPr="0027439A" w:rsidRDefault="003331B6" w:rsidP="0027439A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7B30A3">
        <w:rPr>
          <w:sz w:val="23"/>
          <w:szCs w:val="23"/>
        </w:rPr>
        <w:t>марте</w:t>
      </w:r>
      <w:r w:rsidRPr="0027439A">
        <w:rPr>
          <w:sz w:val="23"/>
          <w:szCs w:val="23"/>
        </w:rPr>
        <w:t xml:space="preserve"> в Барнауле по сравнению с </w:t>
      </w:r>
      <w:r w:rsidR="00B43329" w:rsidRPr="0027439A">
        <w:rPr>
          <w:sz w:val="23"/>
          <w:szCs w:val="23"/>
        </w:rPr>
        <w:t xml:space="preserve">другими </w:t>
      </w:r>
      <w:r w:rsidRPr="0027439A">
        <w:rPr>
          <w:sz w:val="23"/>
          <w:szCs w:val="23"/>
        </w:rPr>
        <w:t xml:space="preserve">крупными городами Сибирского федерального округа зафиксированы </w:t>
      </w:r>
      <w:r w:rsidR="002D78CA" w:rsidRPr="0027439A">
        <w:rPr>
          <w:sz w:val="23"/>
          <w:szCs w:val="23"/>
        </w:rPr>
        <w:t xml:space="preserve">минимальные цены на </w:t>
      </w:r>
      <w:r w:rsidR="00215AD0">
        <w:rPr>
          <w:sz w:val="23"/>
          <w:szCs w:val="23"/>
        </w:rPr>
        <w:t>6</w:t>
      </w:r>
      <w:r w:rsidR="00892CFF"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 w:rsidR="00275B9C"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</w:t>
      </w:r>
      <w:r w:rsidR="00C76FBD" w:rsidRPr="0027439A">
        <w:rPr>
          <w:sz w:val="23"/>
          <w:szCs w:val="23"/>
        </w:rPr>
        <w:t>ьно значимых продуктов питания</w:t>
      </w:r>
      <w:r w:rsidRPr="0027439A">
        <w:rPr>
          <w:sz w:val="23"/>
          <w:szCs w:val="23"/>
        </w:rPr>
        <w:t xml:space="preserve">: </w:t>
      </w:r>
    </w:p>
    <w:p w:rsidR="00F14217" w:rsidRPr="0027439A" w:rsidRDefault="00F14217" w:rsidP="0027439A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F14217" w:rsidRPr="00AC1771" w:rsidTr="007476EE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F142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413,89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399,15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467,63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461,95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405,58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457,86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337,63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352,98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344,89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357,93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357,86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322,95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368,55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251,72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299,14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292,94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285,32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239,94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287,22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143,09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181,07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134,23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165,14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147,26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150,69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144,50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151,81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147,76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179,07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170,55</w:t>
            </w:r>
          </w:p>
        </w:tc>
      </w:tr>
      <w:tr w:rsidR="007476EE" w:rsidRPr="00AC1771" w:rsidTr="008F641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84,94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101,67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100,68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103,51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101,58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489,78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662,54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530,21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612,53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611,25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514,48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472,94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57,94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59,24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60,38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54,25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66,36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60,29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41,04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38,50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708,29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565,12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678,80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944,21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606,57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609,32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15,43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30,13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33,56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33,18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35,82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31,60</w:t>
            </w:r>
          </w:p>
        </w:tc>
      </w:tr>
      <w:tr w:rsidR="001C0E8F" w:rsidRPr="00AC1771" w:rsidTr="008F641A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F" w:rsidRPr="00F14217" w:rsidRDefault="001C0E8F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69,99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72,83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70,63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59,26</w:t>
            </w:r>
          </w:p>
        </w:tc>
      </w:tr>
      <w:tr w:rsidR="001C0E8F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F" w:rsidRPr="00F14217" w:rsidRDefault="001C0E8F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49,59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62,95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59,26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60,41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8F" w:rsidRPr="00215AD0" w:rsidRDefault="001C0E8F" w:rsidP="001C0E8F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45,21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67,09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61,01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78,98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F641A">
              <w:rPr>
                <w:rFonts w:eastAsia="Times New Roman"/>
                <w:sz w:val="20"/>
                <w:szCs w:val="20"/>
                <w:shd w:val="clear" w:color="auto" w:fill="FF66CC"/>
                <w:lang w:eastAsia="ru-RU"/>
              </w:rPr>
              <w:t>80</w:t>
            </w: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70,11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53,42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45,51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77,36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65,09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63,69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69,03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71,92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77,65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76,45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58,57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64,54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70,93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84,94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57,48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22,63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31,42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26,65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31,64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46,19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38,43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32,44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33,11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38,76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43,65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36,89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63,06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47,02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116,31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152,45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127,79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128,47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107,25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139,76</w:t>
            </w:r>
          </w:p>
        </w:tc>
      </w:tr>
      <w:tr w:rsidR="00F14217" w:rsidRPr="00AC1771" w:rsidTr="001C0E8F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14217" w:rsidRPr="007476EE" w:rsidRDefault="00F14217" w:rsidP="001C0E8F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товары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9468,00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10310,64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8560,35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9125,45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9295,14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8465,07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7938,63</w:t>
            </w:r>
          </w:p>
        </w:tc>
      </w:tr>
      <w:tr w:rsidR="007476EE" w:rsidRPr="00AC1771" w:rsidTr="008F641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232,88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276,99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235,18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272,32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228,70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206,62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330,54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398,85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305,57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353,05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360,02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309,22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356,29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504,87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516,03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493,39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440,75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9262,77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13129,35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10445,94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11417,69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12532,25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8932,29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12288,06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2963,02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2182,55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1247,51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2066,14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3324,91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3090,24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3072,32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1262,94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1227,24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1479,44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909,22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1463,85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1131,30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46,64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49,59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49,63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49,15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41,98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40,41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44,31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215AD0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5AD0">
              <w:rPr>
                <w:rFonts w:eastAsia="Times New Roman"/>
                <w:sz w:val="20"/>
                <w:szCs w:val="20"/>
                <w:lang w:eastAsia="ru-RU"/>
              </w:rPr>
              <w:t>42,81</w:t>
            </w:r>
          </w:p>
        </w:tc>
      </w:tr>
      <w:tr w:rsidR="00F14217" w:rsidRPr="00AC1771" w:rsidTr="001C0E8F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14217" w:rsidRPr="007476EE" w:rsidRDefault="00F14217" w:rsidP="001C0E8F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Платные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7476EE" w:rsidRPr="00AC1771" w:rsidTr="008F641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144,33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100,49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121,03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108,19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98,83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143,63</w:t>
            </w:r>
          </w:p>
        </w:tc>
      </w:tr>
      <w:tr w:rsidR="007476EE" w:rsidRPr="00AC1771" w:rsidTr="000E1F1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79,17</w:t>
            </w:r>
          </w:p>
        </w:tc>
      </w:tr>
      <w:tr w:rsidR="007476EE" w:rsidRPr="00AC1771" w:rsidTr="000E1F1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1897,98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1392,91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778,75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1704,98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1384,74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1559,65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1812,07</w:t>
            </w:r>
          </w:p>
        </w:tc>
      </w:tr>
      <w:tr w:rsidR="007476EE" w:rsidRPr="00AC1771" w:rsidTr="000E1F15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32,68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7476EE" w:rsidRPr="00AC1771" w:rsidTr="000E1F15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266,93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260,17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307,23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7476EE" w:rsidRPr="00AC1771" w:rsidTr="000E1F15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24,24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17,19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217" w:rsidRPr="007476EE" w:rsidRDefault="00F14217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7476EE" w:rsidRPr="00AC1771" w:rsidTr="000E1F1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409,00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406,00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7476EE" w:rsidRPr="00AC1771" w:rsidTr="000E1F1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EE" w:rsidRPr="00F14217" w:rsidRDefault="007476EE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EE" w:rsidRPr="007476EE" w:rsidRDefault="007476EE" w:rsidP="007476EE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245,00</w:t>
            </w:r>
          </w:p>
        </w:tc>
      </w:tr>
    </w:tbl>
    <w:p w:rsidR="003331B6" w:rsidRDefault="003331B6" w:rsidP="00AC1771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665743" w:rsidRPr="00AC1771" w:rsidTr="00044BC6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99475B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43"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E27D0C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0" style="position:absolute;left:0;text-align:left;margin-left:30.1pt;margin-top:.5pt;width:27.75pt;height:7.15pt;z-index:251657728;mso-position-horizontal-relative:text;mso-position-vertical-relative:text" fillcolor="#f6c" strokecolor="#f6c"/>
              </w:pict>
            </w:r>
            <w:r w:rsidR="00665743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665743" w:rsidRPr="00E34CC9" w:rsidRDefault="00665743" w:rsidP="00AC1771">
      <w:pPr>
        <w:ind w:right="-307"/>
        <w:rPr>
          <w:b/>
          <w:i/>
          <w:sz w:val="4"/>
          <w:szCs w:val="4"/>
        </w:rPr>
      </w:pPr>
    </w:p>
    <w:sectPr w:rsidR="00665743" w:rsidRPr="00E34CC9" w:rsidSect="00FC3259">
      <w:headerReference w:type="default" r:id="rId14"/>
      <w:pgSz w:w="11906" w:h="16838"/>
      <w:pgMar w:top="709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7D" w:rsidRDefault="00603B7D" w:rsidP="0091736E">
      <w:r>
        <w:separator/>
      </w:r>
    </w:p>
  </w:endnote>
  <w:endnote w:type="continuationSeparator" w:id="0">
    <w:p w:rsidR="00603B7D" w:rsidRDefault="00603B7D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7D" w:rsidRDefault="00603B7D" w:rsidP="0091736E">
      <w:r>
        <w:separator/>
      </w:r>
    </w:p>
  </w:footnote>
  <w:footnote w:type="continuationSeparator" w:id="0">
    <w:p w:rsidR="00603B7D" w:rsidRDefault="00603B7D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7D" w:rsidRPr="00C00C70" w:rsidRDefault="00E27D0C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603B7D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C66892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157"/>
    <w:rsid w:val="0004357B"/>
    <w:rsid w:val="00044BC6"/>
    <w:rsid w:val="00046406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C82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52C3"/>
    <w:rsid w:val="0018659D"/>
    <w:rsid w:val="00186625"/>
    <w:rsid w:val="0018665A"/>
    <w:rsid w:val="001908F8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E70"/>
    <w:rsid w:val="002F1BE9"/>
    <w:rsid w:val="002F1CC7"/>
    <w:rsid w:val="002F1D17"/>
    <w:rsid w:val="002F22F8"/>
    <w:rsid w:val="002F260D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1F7"/>
    <w:rsid w:val="00340CBD"/>
    <w:rsid w:val="00340D8E"/>
    <w:rsid w:val="0034146D"/>
    <w:rsid w:val="00341523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D1E00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003C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175D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C1263"/>
    <w:rsid w:val="009C54EF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DB4"/>
    <w:rsid w:val="00A35745"/>
    <w:rsid w:val="00A406C0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4064"/>
    <w:rsid w:val="00B06EEB"/>
    <w:rsid w:val="00B072BA"/>
    <w:rsid w:val="00B076FB"/>
    <w:rsid w:val="00B10929"/>
    <w:rsid w:val="00B1206D"/>
    <w:rsid w:val="00B124F0"/>
    <w:rsid w:val="00B1299E"/>
    <w:rsid w:val="00B12AD3"/>
    <w:rsid w:val="00B13509"/>
    <w:rsid w:val="00B1382F"/>
    <w:rsid w:val="00B153D3"/>
    <w:rsid w:val="00B15979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6892"/>
    <w:rsid w:val="00C67734"/>
    <w:rsid w:val="00C70AC6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8352884912724655E-3"/>
                  <c:y val="6.655574043261230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5275966945222899E-3"/>
                  <c:y val="6.655574043261230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2985129483240529E-3"/>
                  <c:y val="6.655574043261230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108398598769859E-2"/>
                  <c:y val="-7.706675795960406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386E-2"/>
                  <c:y val="-8.848750427935639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3066474120453807E-2"/>
                  <c:y val="-8.2972440944882764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9485992965738842E-2"/>
                  <c:y val="0.11984936665525495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4208506194790171E-2"/>
                  <c:y val="-0.12121212121212238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5089614802165892E-2"/>
                  <c:y val="0.11651427292518811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773902258201969E-2"/>
                  <c:y val="-8.2106128038343065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101.1</c:v>
                </c:pt>
                <c:pt idx="1">
                  <c:v>98.6</c:v>
                </c:pt>
                <c:pt idx="2">
                  <c:v>98.2</c:v>
                </c:pt>
                <c:pt idx="3">
                  <c:v>100.6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1.988246173511755E-4"/>
                  <c:y val="6.60146475035046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3271757236175478E-3"/>
                  <c:y val="6.445163572523489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7451399041892661E-3"/>
                  <c:y val="7.832745948353793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3506449991623412E-5"/>
                  <c:y val="6.173962031784299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4068557695348183E-2"/>
                  <c:y val="0.137226064133287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386E-2"/>
                  <c:y val="0.1139728403514780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4859594163632781E-2"/>
                  <c:y val="0.1038961038961041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1834178358227607E-2"/>
                  <c:y val="-0.145303663129065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6881700028460881E-2"/>
                  <c:y val="-0.10980243748601318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</c:numCache>
            </c:numRef>
          </c:val>
        </c:ser>
        <c:axId val="234328448"/>
        <c:axId val="234329984"/>
      </c:barChart>
      <c:catAx>
        <c:axId val="2343284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234329984"/>
        <c:crossesAt val="97"/>
        <c:auto val="1"/>
        <c:lblAlgn val="ctr"/>
        <c:lblOffset val="0"/>
      </c:catAx>
      <c:valAx>
        <c:axId val="234329984"/>
        <c:scaling>
          <c:orientation val="minMax"/>
          <c:max val="103"/>
          <c:min val="97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4328448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4125"/>
          <c:y val="0.15047769028871388"/>
          <c:w val="9.9524264174540092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024525161499726E-2"/>
          <c:y val="0.15930397198783849"/>
          <c:w val="0.72741117110090758"/>
          <c:h val="0.58445517875988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янв.-апрель 2019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2.5039710391737552E-3"/>
                  <c:y val="3.916546228765287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37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63141275333135E-3"/>
                  <c:y val="2.3549583559099807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5202933324322231E-3"/>
                  <c:y val="2.512034832855198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24977210520711E-3"/>
                  <c:y val="2.9663881310937241E-2"/>
                </c:manualLayout>
              </c:layout>
              <c:dLblPos val="outEnd"/>
              <c:showVal val="1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112.3</c:v>
                </c:pt>
                <c:pt idx="1">
                  <c:v>92.2</c:v>
                </c:pt>
                <c:pt idx="2">
                  <c:v>100.8</c:v>
                </c:pt>
                <c:pt idx="3">
                  <c:v>109.6</c:v>
                </c:pt>
                <c:pt idx="4">
                  <c:v>83.8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янв.-апрель 2020 г.</c:v>
                </c:pt>
              </c:strCache>
            </c:strRef>
          </c:tx>
          <c:spPr>
            <a:solidFill>
              <a:srgbClr val="0070C0"/>
            </a:solidFill>
            <a:ln w="12698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7.5967385788259754E-3"/>
                  <c:y val="2.84408121514594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3728456026495E-3"/>
                  <c:y val="1.549744958114859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2856762003462025E-4"/>
                  <c:y val="2.269507009298259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533975100782E-3"/>
                  <c:y val="4.180968121598438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3830043352290492E-3"/>
                  <c:y val="3.4824457610225582E-2"/>
                </c:manualLayout>
              </c:layout>
              <c:dLblPos val="outEnd"/>
              <c:showVal val="1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106.7</c:v>
                </c:pt>
                <c:pt idx="1">
                  <c:v>103.5</c:v>
                </c:pt>
                <c:pt idx="2">
                  <c:v>105</c:v>
                </c:pt>
                <c:pt idx="3">
                  <c:v>85</c:v>
                </c:pt>
                <c:pt idx="4">
                  <c:v>86.4</c:v>
                </c:pt>
              </c:numCache>
            </c:numRef>
          </c:val>
        </c:ser>
        <c:axId val="234388096"/>
        <c:axId val="234414464"/>
      </c:barChart>
      <c:catAx>
        <c:axId val="234388096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4414464"/>
        <c:crossesAt val="82"/>
        <c:auto val="1"/>
        <c:lblAlgn val="ctr"/>
        <c:lblOffset val="1"/>
        <c:tickLblSkip val="1"/>
        <c:tickMarkSkip val="3"/>
      </c:catAx>
      <c:valAx>
        <c:axId val="234414464"/>
        <c:scaling>
          <c:orientation val="minMax"/>
          <c:max val="116"/>
          <c:min val="80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4388096"/>
        <c:crosses val="autoZero"/>
        <c:crossBetween val="between"/>
        <c:majorUnit val="7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475"/>
          <c:y val="0.25630656167979193"/>
          <c:w val="0.14522582259009986"/>
          <c:h val="0.2939926509186354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9432900164501625E-2"/>
          <c:y val="0.14365731691526029"/>
          <c:w val="0.5821267330846347"/>
          <c:h val="0.661303867948378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0"/>
                  <c:y val="1.2157329386232216E-3"/>
                </c:manualLayout>
              </c:layout>
              <c:showVal val="1"/>
            </c:dLbl>
            <c:dLbl>
              <c:idx val="1"/>
              <c:layout>
                <c:manualLayout>
                  <c:x val="-2.0451988955925986E-3"/>
                  <c:y val="6.264682850430697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01.05.2019</c:v>
                </c:pt>
                <c:pt idx="1">
                  <c:v>на 01.05.2020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2514.1999999999998</c:v>
                </c:pt>
                <c:pt idx="1">
                  <c:v>2192.1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-2.0450378563094816E-3"/>
                  <c:y val="8.953810296030938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6103928311752753E-7"/>
                  <c:y val="9.010784380221857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01.05.2019</c:v>
                </c:pt>
                <c:pt idx="1">
                  <c:v>на 01.05.2020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1520.6</c:v>
                </c:pt>
                <c:pt idx="1">
                  <c:v>1718.6</c:v>
                </c:pt>
              </c:numCache>
            </c:numRef>
          </c:val>
        </c:ser>
        <c:axId val="235075072"/>
        <c:axId val="235076608"/>
      </c:barChart>
      <c:catAx>
        <c:axId val="23507507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35076608"/>
        <c:crossesAt val="500"/>
        <c:lblAlgn val="ctr"/>
        <c:lblOffset val="0"/>
        <c:tickLblSkip val="1"/>
      </c:catAx>
      <c:valAx>
        <c:axId val="235076608"/>
        <c:scaling>
          <c:orientation val="minMax"/>
          <c:max val="3000"/>
          <c:min val="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35075072"/>
        <c:crosses val="autoZero"/>
        <c:crossBetween val="between"/>
        <c:majorUnit val="700"/>
        <c:minorUnit val="7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86419947506562"/>
          <c:y val="0.17525521074571571"/>
          <c:w val="0.5452303310571025"/>
          <c:h val="0.631671854971622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0450208875405719E-3"/>
                  <c:y val="8.659508470532102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6974431226405E-3"/>
                  <c:y val="1.393277453221585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04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536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417E-2"/>
                  <c:y val="-2.69867175693966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апрель 2019 г.</c:v>
                </c:pt>
                <c:pt idx="1">
                  <c:v>янв.- апрель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0">
                  <c:v>131</c:v>
                </c:pt>
                <c:pt idx="1">
                  <c:v>104.2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8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7996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06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572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апрель 2019 г.</c:v>
                </c:pt>
                <c:pt idx="1">
                  <c:v>янв.- апрель 2020 г.</c:v>
                </c:pt>
              </c:strCache>
            </c:strRef>
          </c:cat>
          <c:val>
            <c:numRef>
              <c:f>Лист1!$C$2:$C$3</c:f>
              <c:numCache>
                <c:formatCode>0</c:formatCode>
                <c:ptCount val="2"/>
                <c:pt idx="0" formatCode="0.0">
                  <c:v>31.3</c:v>
                </c:pt>
                <c:pt idx="1">
                  <c:v>21</c:v>
                </c:pt>
              </c:numCache>
            </c:numRef>
          </c:val>
        </c:ser>
        <c:axId val="234308352"/>
        <c:axId val="234309888"/>
      </c:barChart>
      <c:catAx>
        <c:axId val="23430835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34309888"/>
        <c:crossesAt val="0"/>
        <c:lblAlgn val="ctr"/>
        <c:lblOffset val="0"/>
        <c:tickLblSkip val="1"/>
      </c:catAx>
      <c:valAx>
        <c:axId val="234309888"/>
        <c:scaling>
          <c:orientation val="minMax"/>
          <c:max val="150"/>
          <c:min val="0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34308352"/>
        <c:crosses val="autoZero"/>
        <c:crossBetween val="between"/>
        <c:majorUnit val="30"/>
        <c:minorUnit val="3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423"/>
          <c:h val="0.440276684228048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0376262986724768E-3"/>
                  <c:y val="5.511879060494813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5382E-3"/>
                  <c:y val="4.039822237253036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293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7844819109427217E-2"/>
                  <c:y val="0.13067260531827288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415446988434811E-2"/>
                  <c:y val="0.124687292876270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3563805244805489E-2"/>
                  <c:y val="0.1568079747607309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7353165868675998E-2"/>
                  <c:y val="-0.1614645139054588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39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671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1701E-4"/>
                  <c:y val="4.376693699063883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7553011690740499E-3"/>
                  <c:y val="5.97259579055279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203516880331164E-3"/>
                  <c:y val="5.412448594198473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7.5292647322209325E-4"/>
                  <c:y val="3.732912001099127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895326097925611E-4"/>
                  <c:y val="3.530990490875088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374707844516552E-2"/>
                  <c:y val="-0.13033537474482371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347069368490321E-2"/>
                  <c:y val="-0.1224656008907977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6941084813965992E-2"/>
                  <c:y val="-0.1155269227710186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7157109684056342E-2"/>
                  <c:y val="0.11524165539913571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79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</c:numCache>
            </c:numRef>
          </c:val>
        </c:ser>
        <c:axId val="266951680"/>
        <c:axId val="266961664"/>
      </c:barChart>
      <c:catAx>
        <c:axId val="266951680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6961664"/>
        <c:crossesAt val="0"/>
        <c:auto val="1"/>
        <c:lblAlgn val="ctr"/>
        <c:lblOffset val="100"/>
      </c:catAx>
      <c:valAx>
        <c:axId val="266961664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6951680"/>
        <c:crosses val="autoZero"/>
        <c:crossBetween val="between"/>
        <c:majorUnit val="4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010583230537282"/>
          <c:y val="0.27361930504955662"/>
          <c:w val="0.16856265587592223"/>
          <c:h val="0.4527582559642733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7D6C9-7417-46C5-81D2-0899FE29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1691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28</cp:revision>
  <cp:lastPrinted>2020-06-10T08:55:00Z</cp:lastPrinted>
  <dcterms:created xsi:type="dcterms:W3CDTF">2020-04-29T04:50:00Z</dcterms:created>
  <dcterms:modified xsi:type="dcterms:W3CDTF">2020-06-10T09:04:00Z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