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38700" cy="466725"/>
                <wp:effectExtent l="0" t="0" r="0" b="9525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3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1.00pt;height:36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left="425" w:hanging="425"/>
        <w:jc w:val="both"/>
        <w:spacing w:after="0" w:line="240" w:lineRule="auto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6"/>
          <w:szCs w:val="16"/>
        </w:rPr>
        <w:t xml:space="preserve">ВКонтакте</w:t>
      </w:r>
      <w:r>
        <w:rPr>
          <w:rFonts w:ascii="Tahoma" w:hAnsi="Tahoma" w:cs="Tahoma"/>
          <w:color w:val="002060"/>
          <w:sz w:val="16"/>
          <w:szCs w:val="16"/>
        </w:rPr>
        <w:t xml:space="preserve">           </w:t>
      </w:r>
      <w:r>
        <w:rPr>
          <w:color w:val="002060"/>
          <w:sz w:val="18"/>
          <w:szCs w:val="18"/>
        </w:rPr>
        <w:t xml:space="preserve">https://vk.com/altaiensb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ind w:left="425" w:hanging="425"/>
        <w:jc w:val="both"/>
        <w:spacing w:after="0" w:line="240" w:lineRule="auto"/>
        <w:rPr>
          <w:rFonts w:ascii="Tahoma" w:hAnsi="Tahoma" w:cs="Tahoma"/>
          <w:color w:val="002060"/>
          <w:sz w:val="16"/>
          <w:szCs w:val="16"/>
        </w:rPr>
      </w:pPr>
      <w:r>
        <w:rPr>
          <w:rFonts w:ascii="Tahoma" w:hAnsi="Tahoma" w:cs="Tahoma"/>
          <w:color w:val="002060"/>
          <w:sz w:val="16"/>
          <w:szCs w:val="16"/>
        </w:rPr>
        <w:t xml:space="preserve">Одноклассники    https://ok.ru/altaiensb </w:t>
      </w:r>
      <w:r>
        <w:rPr>
          <w:rFonts w:ascii="Tahoma" w:hAnsi="Tahoma" w:cs="Tahoma"/>
          <w:color w:val="002060"/>
          <w:sz w:val="16"/>
          <w:szCs w:val="16"/>
        </w:rPr>
      </w:r>
    </w:p>
    <w:p>
      <w:pPr>
        <w:jc w:val="both"/>
        <w:spacing w:after="0" w:line="240" w:lineRule="auto"/>
        <w:widowControl w:val="off"/>
        <w:rPr>
          <w:rFonts w:ascii="Tahoma" w:hAnsi="Tahoma" w:eastAsia="Times New Roman" w:cs="Tahoma"/>
          <w:b/>
          <w:lang w:eastAsia="ru-RU"/>
        </w:rPr>
      </w:pPr>
      <w:r>
        <w:rPr>
          <w:rFonts w:ascii="Tahoma" w:hAnsi="Tahoma" w:eastAsia="Times New Roman" w:cs="Tahoma"/>
          <w:b/>
          <w:lang w:eastAsia="ru-RU"/>
        </w:rPr>
      </w:r>
      <w:r>
        <w:rPr>
          <w:rFonts w:ascii="Tahoma" w:hAnsi="Tahoma" w:eastAsia="Times New Roman" w:cs="Tahoma"/>
          <w:b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ahoma" w:hAnsi="Tahoma" w:eastAsia="Times New Roman" w:cs="Tahoma"/>
          <w:b/>
          <w:lang w:eastAsia="ru-RU"/>
        </w:rPr>
      </w:pPr>
      <w:r>
        <w:rPr>
          <w:rFonts w:ascii="Tahoma" w:hAnsi="Tahoma" w:eastAsia="Times New Roman" w:cs="Tahoma"/>
          <w:b/>
          <w:lang w:eastAsia="ru-RU"/>
        </w:rPr>
        <w:t xml:space="preserve">Пресс-релиз </w:t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  <w:t xml:space="preserve">                            30</w:t>
      </w:r>
      <w:r>
        <w:rPr>
          <w:rFonts w:ascii="Tahoma" w:hAnsi="Tahoma" w:eastAsia="Times New Roman" w:cs="Tahoma"/>
          <w:b/>
          <w:lang w:eastAsia="ru-RU"/>
        </w:rPr>
        <w:t xml:space="preserve"> </w:t>
      </w:r>
      <w:r>
        <w:rPr>
          <w:rFonts w:ascii="Tahoma" w:hAnsi="Tahoma" w:eastAsia="Times New Roman" w:cs="Tahoma"/>
          <w:b/>
          <w:lang w:eastAsia="ru-RU"/>
        </w:rPr>
        <w:t xml:space="preserve">июн</w:t>
      </w:r>
      <w:r>
        <w:rPr>
          <w:rFonts w:ascii="Tahoma" w:hAnsi="Tahoma" w:eastAsia="Times New Roman" w:cs="Tahoma"/>
          <w:b/>
          <w:lang w:eastAsia="ru-RU"/>
        </w:rPr>
        <w:t xml:space="preserve">я</w:t>
      </w:r>
      <w:r>
        <w:rPr>
          <w:rFonts w:ascii="Tahoma" w:hAnsi="Tahoma" w:eastAsia="Times New Roman" w:cs="Tahoma"/>
          <w:b/>
          <w:lang w:eastAsia="ru-RU"/>
        </w:rPr>
        <w:t xml:space="preserve"> 2025 г., Барнаул</w:t>
      </w:r>
      <w:r>
        <w:rPr>
          <w:rFonts w:ascii="Tahoma" w:hAnsi="Tahoma" w:eastAsia="Times New Roman" w:cs="Tahoma"/>
          <w:b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  <w:t xml:space="preserve">«АЛТАЙЭНЕРГОСБЫТ» 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ЗАНЯЛ </w:t>
      </w:r>
      <w:r>
        <w:rPr>
          <w:rFonts w:ascii="Tahoma" w:hAnsi="Tahoma" w:eastAsia="Times New Roman" w:cs="Tahoma"/>
          <w:b/>
          <w:szCs w:val="24"/>
          <w:lang w:val="en-US" w:eastAsia="ru-RU"/>
        </w:rPr>
        <w:t xml:space="preserve">I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 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МЕСТО В КОНКУРСЕ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 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ПО ОХРАНЕ ТРУДА</w:t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«Алтайэнергосбыт»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вошёл в число лучших </w:t>
      </w:r>
      <w:r>
        <w:rPr>
          <w:rFonts w:ascii="Tahoma" w:hAnsi="Tahoma" w:cs="Tahoma"/>
          <w:lang w:eastAsia="ru-RU"/>
        </w:rPr>
        <w:t xml:space="preserve">компаний Барнаула по организации работы в </w:t>
      </w:r>
      <w:r>
        <w:rPr>
          <w:rFonts w:ascii="Tahoma" w:hAnsi="Tahoma" w:cs="Tahoma"/>
          <w:lang w:eastAsia="ru-RU"/>
        </w:rPr>
        <w:t xml:space="preserve">области</w:t>
      </w:r>
      <w:r>
        <w:rPr>
          <w:rFonts w:ascii="Tahoma" w:hAnsi="Tahoma" w:cs="Tahoma"/>
          <w:lang w:eastAsia="ru-RU"/>
        </w:rPr>
        <w:t xml:space="preserve"> охраны труда.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Засл</w:t>
      </w:r>
      <w:r>
        <w:rPr>
          <w:rFonts w:ascii="Tahoma" w:hAnsi="Tahoma" w:cs="Tahoma"/>
          <w:lang w:eastAsia="ru-RU"/>
        </w:rPr>
        <w:t xml:space="preserve">у</w:t>
      </w:r>
      <w:r>
        <w:rPr>
          <w:rFonts w:ascii="Tahoma" w:hAnsi="Tahoma" w:cs="Tahoma"/>
          <w:lang w:eastAsia="ru-RU"/>
        </w:rPr>
        <w:t xml:space="preserve">женная награда получена по итогам к</w:t>
      </w:r>
      <w:r>
        <w:rPr>
          <w:rFonts w:ascii="Tahoma" w:hAnsi="Tahoma" w:cs="Tahoma"/>
          <w:lang w:eastAsia="ru-RU"/>
        </w:rPr>
        <w:t xml:space="preserve">онкурс</w:t>
      </w:r>
      <w:r>
        <w:rPr>
          <w:rFonts w:ascii="Tahoma" w:hAnsi="Tahoma" w:cs="Tahoma"/>
          <w:lang w:eastAsia="ru-RU"/>
        </w:rPr>
        <w:t xml:space="preserve">а, который</w:t>
      </w:r>
      <w:r>
        <w:rPr>
          <w:rFonts w:ascii="Tahoma" w:hAnsi="Tahoma" w:cs="Tahoma"/>
          <w:lang w:eastAsia="ru-RU"/>
        </w:rPr>
        <w:t xml:space="preserve"> проводился в соответствии с постановлением администрации города от 28.03.2025 №424.</w:t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Энергокомпания завоевала первенство в </w:t>
      </w:r>
      <w:r>
        <w:rPr>
          <w:rFonts w:ascii="Tahoma" w:hAnsi="Tahoma" w:cs="Tahoma"/>
          <w:lang w:eastAsia="ru-RU"/>
        </w:rPr>
        <w:t xml:space="preserve">номинации </w:t>
      </w:r>
      <w:r>
        <w:rPr>
          <w:rFonts w:ascii="Tahoma" w:hAnsi="Tahoma" w:cs="Tahoma"/>
          <w:lang w:eastAsia="ru-RU"/>
        </w:rPr>
        <w:t xml:space="preserve">«Лучшая организация работы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по охране труда в организациях реального сектора экономики и индивидуальных предпринимателей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непроизводственной сферы»</w:t>
      </w:r>
      <w:r>
        <w:rPr>
          <w:rFonts w:ascii="Tahoma" w:hAnsi="Tahoma" w:cs="Tahoma"/>
          <w:lang w:eastAsia="ru-RU"/>
        </w:rPr>
        <w:t xml:space="preserve">.</w:t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- Охране труда в нашей компании уделяется </w:t>
      </w:r>
      <w:r>
        <w:rPr>
          <w:rFonts w:ascii="Tahoma" w:hAnsi="Tahoma" w:cs="Tahoma"/>
          <w:lang w:eastAsia="ru-RU"/>
        </w:rPr>
        <w:t xml:space="preserve">большое </w:t>
      </w:r>
      <w:r>
        <w:rPr>
          <w:rFonts w:ascii="Tahoma" w:hAnsi="Tahoma" w:cs="Tahoma"/>
          <w:lang w:eastAsia="ru-RU"/>
        </w:rPr>
        <w:t xml:space="preserve">внимание, так как здоровье</w:t>
      </w:r>
      <w:r>
        <w:rPr>
          <w:rFonts w:ascii="Tahoma" w:hAnsi="Tahoma" w:cs="Tahoma"/>
          <w:lang w:eastAsia="ru-RU"/>
        </w:rPr>
        <w:t xml:space="preserve"> и безопасность </w:t>
      </w:r>
      <w:r>
        <w:rPr>
          <w:rFonts w:ascii="Tahoma" w:hAnsi="Tahoma" w:cs="Tahoma"/>
          <w:lang w:eastAsia="ru-RU"/>
        </w:rPr>
        <w:t xml:space="preserve">каждого </w:t>
      </w:r>
      <w:r>
        <w:rPr>
          <w:rFonts w:ascii="Tahoma" w:hAnsi="Tahoma" w:cs="Tahoma"/>
          <w:lang w:eastAsia="ru-RU"/>
        </w:rPr>
        <w:t xml:space="preserve">сотрудник</w:t>
      </w:r>
      <w:r>
        <w:rPr>
          <w:rFonts w:ascii="Tahoma" w:hAnsi="Tahoma" w:cs="Tahoma"/>
          <w:lang w:eastAsia="ru-RU"/>
        </w:rPr>
        <w:t xml:space="preserve">а</w:t>
      </w:r>
      <w:r>
        <w:rPr>
          <w:rFonts w:ascii="Tahoma" w:hAnsi="Tahoma" w:cs="Tahoma"/>
          <w:lang w:eastAsia="ru-RU"/>
        </w:rPr>
        <w:t xml:space="preserve"> – это залог продуктивной и успешной работы</w:t>
      </w:r>
      <w:r>
        <w:rPr>
          <w:rFonts w:ascii="Tahoma" w:hAnsi="Tahoma" w:cs="Tahoma"/>
          <w:lang w:eastAsia="ru-RU"/>
        </w:rPr>
        <w:t xml:space="preserve"> всего коллектива</w:t>
      </w:r>
      <w:r>
        <w:rPr>
          <w:rFonts w:ascii="Tahoma" w:hAnsi="Tahoma" w:cs="Tahoma"/>
          <w:lang w:eastAsia="ru-RU"/>
        </w:rPr>
        <w:t xml:space="preserve">. </w:t>
      </w:r>
      <w:r>
        <w:rPr>
          <w:rFonts w:ascii="Tahoma" w:hAnsi="Tahoma" w:cs="Tahoma"/>
          <w:lang w:eastAsia="ru-RU"/>
        </w:rPr>
        <w:t xml:space="preserve">Поэтому «Алтайэнергосбыт» ежегодно проводит такие важные мероприятия, как </w:t>
      </w:r>
      <w:r>
        <w:rPr>
          <w:rFonts w:ascii="Tahoma" w:hAnsi="Tahoma" w:cs="Tahoma"/>
          <w:lang w:eastAsia="ru-RU"/>
        </w:rPr>
        <w:t xml:space="preserve">углубленный профилактический медицинский осмотр</w:t>
      </w:r>
      <w:r>
        <w:rPr>
          <w:rFonts w:ascii="Tahoma" w:hAnsi="Tahoma" w:cs="Tahoma"/>
          <w:lang w:eastAsia="ru-RU"/>
        </w:rPr>
        <w:t xml:space="preserve">   для работников, </w:t>
      </w:r>
      <w:r>
        <w:rPr>
          <w:rFonts w:ascii="Tahoma" w:hAnsi="Tahoma" w:cs="Tahoma"/>
          <w:lang w:eastAsia="ru-RU"/>
        </w:rPr>
        <w:t xml:space="preserve">специальн</w:t>
      </w:r>
      <w:r>
        <w:rPr>
          <w:rFonts w:ascii="Tahoma" w:hAnsi="Tahoma" w:cs="Tahoma"/>
          <w:lang w:eastAsia="ru-RU"/>
        </w:rPr>
        <w:t xml:space="preserve">ая</w:t>
      </w:r>
      <w:r>
        <w:rPr>
          <w:rFonts w:ascii="Tahoma" w:hAnsi="Tahoma" w:cs="Tahoma"/>
          <w:lang w:eastAsia="ru-RU"/>
        </w:rPr>
        <w:t xml:space="preserve"> оценк</w:t>
      </w:r>
      <w:r>
        <w:rPr>
          <w:rFonts w:ascii="Tahoma" w:hAnsi="Tahoma" w:cs="Tahoma"/>
          <w:lang w:eastAsia="ru-RU"/>
        </w:rPr>
        <w:t xml:space="preserve">а</w:t>
      </w:r>
      <w:r>
        <w:rPr>
          <w:rFonts w:ascii="Tahoma" w:hAnsi="Tahoma" w:cs="Tahoma"/>
          <w:lang w:eastAsia="ru-RU"/>
        </w:rPr>
        <w:t xml:space="preserve"> условий труда</w:t>
      </w:r>
      <w:r>
        <w:rPr>
          <w:rFonts w:ascii="Tahoma" w:hAnsi="Tahoma" w:cs="Tahoma"/>
          <w:lang w:eastAsia="ru-RU"/>
        </w:rPr>
        <w:t xml:space="preserve">, а также оценк</w:t>
      </w:r>
      <w:r>
        <w:rPr>
          <w:rFonts w:ascii="Tahoma" w:hAnsi="Tahoma" w:cs="Tahoma"/>
          <w:lang w:eastAsia="ru-RU"/>
        </w:rPr>
        <w:t xml:space="preserve">а</w:t>
      </w:r>
      <w:r>
        <w:rPr>
          <w:rFonts w:ascii="Tahoma" w:hAnsi="Tahoma" w:cs="Tahoma"/>
          <w:lang w:eastAsia="ru-RU"/>
        </w:rPr>
        <w:t xml:space="preserve"> профессиональных рисков, - отметила Елена Гончар, директор </w:t>
      </w:r>
      <w:r>
        <w:rPr>
          <w:rFonts w:ascii="Tahoma" w:hAnsi="Tahoma" w:cs="Tahoma"/>
          <w:lang w:eastAsia="ru-RU"/>
        </w:rPr>
        <w:t xml:space="preserve">по персоналу и административным вопросам</w:t>
      </w:r>
      <w:r>
        <w:rPr>
          <w:rFonts w:ascii="Tahoma" w:hAnsi="Tahoma" w:cs="Tahoma"/>
          <w:lang w:eastAsia="ru-RU"/>
        </w:rPr>
        <w:t xml:space="preserve"> АО «Алтайэнергосбыт».</w:t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Дополнительно энергокомпания поддерживает </w:t>
      </w:r>
      <w:r>
        <w:rPr>
          <w:rFonts w:ascii="Tahoma" w:hAnsi="Tahoma" w:cs="Tahoma"/>
          <w:lang w:eastAsia="ru-RU"/>
        </w:rPr>
        <w:t xml:space="preserve">здоров</w:t>
      </w:r>
      <w:r>
        <w:rPr>
          <w:rFonts w:ascii="Tahoma" w:hAnsi="Tahoma" w:cs="Tahoma"/>
          <w:lang w:eastAsia="ru-RU"/>
        </w:rPr>
        <w:t xml:space="preserve">ый образ жизни сотрудников</w:t>
      </w:r>
      <w:r>
        <w:rPr>
          <w:rFonts w:ascii="Tahoma" w:hAnsi="Tahoma" w:cs="Tahoma"/>
          <w:lang w:eastAsia="ru-RU"/>
        </w:rPr>
        <w:t xml:space="preserve">. Помимо того, что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развивает корпоративные </w:t>
      </w:r>
      <w:r>
        <w:rPr>
          <w:rFonts w:ascii="Tahoma" w:hAnsi="Tahoma" w:cs="Tahoma"/>
          <w:lang w:eastAsia="ru-RU"/>
        </w:rPr>
        <w:t xml:space="preserve">спортивные </w:t>
      </w:r>
      <w:r>
        <w:rPr>
          <w:rFonts w:ascii="Tahoma" w:hAnsi="Tahoma" w:cs="Tahoma"/>
          <w:lang w:eastAsia="ru-RU"/>
        </w:rPr>
        <w:t xml:space="preserve">команды,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индивидуально </w:t>
      </w:r>
      <w:r>
        <w:rPr>
          <w:rFonts w:ascii="Tahoma" w:hAnsi="Tahoma" w:cs="Tahoma"/>
          <w:lang w:eastAsia="ru-RU"/>
        </w:rPr>
        <w:t xml:space="preserve">компенс</w:t>
      </w:r>
      <w:r>
        <w:rPr>
          <w:rFonts w:ascii="Tahoma" w:hAnsi="Tahoma" w:cs="Tahoma"/>
          <w:lang w:eastAsia="ru-RU"/>
        </w:rPr>
        <w:t xml:space="preserve">ирует </w:t>
      </w:r>
      <w:r>
        <w:rPr>
          <w:rFonts w:ascii="Tahoma" w:hAnsi="Tahoma" w:cs="Tahoma"/>
          <w:lang w:eastAsia="ru-RU"/>
        </w:rPr>
        <w:t xml:space="preserve">40% </w:t>
      </w:r>
      <w:r>
        <w:rPr>
          <w:rFonts w:ascii="Tahoma" w:hAnsi="Tahoma" w:cs="Tahoma"/>
          <w:lang w:eastAsia="ru-RU"/>
        </w:rPr>
        <w:t xml:space="preserve">с</w:t>
      </w:r>
      <w:r>
        <w:rPr>
          <w:rFonts w:ascii="Tahoma" w:hAnsi="Tahoma" w:cs="Tahoma"/>
          <w:lang w:eastAsia="ru-RU"/>
        </w:rPr>
        <w:t xml:space="preserve">тоимост</w:t>
      </w:r>
      <w:r>
        <w:rPr>
          <w:rFonts w:ascii="Tahoma" w:hAnsi="Tahoma" w:cs="Tahoma"/>
          <w:lang w:eastAsia="ru-RU"/>
        </w:rPr>
        <w:t xml:space="preserve">и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абонемента на посещение </w:t>
      </w:r>
      <w:r>
        <w:rPr>
          <w:rFonts w:ascii="Tahoma" w:hAnsi="Tahoma" w:cs="Tahoma"/>
          <w:lang w:eastAsia="ru-RU"/>
        </w:rPr>
        <w:t xml:space="preserve">фитнес-клубов</w:t>
      </w:r>
      <w:r>
        <w:rPr>
          <w:rFonts w:ascii="Tahoma" w:hAnsi="Tahoma" w:cs="Tahoma"/>
          <w:lang w:eastAsia="ru-RU"/>
        </w:rPr>
        <w:t xml:space="preserve"> и </w:t>
      </w:r>
      <w:r>
        <w:rPr>
          <w:rFonts w:ascii="Tahoma" w:hAnsi="Tahoma" w:cs="Tahoma"/>
          <w:lang w:eastAsia="ru-RU"/>
        </w:rPr>
        <w:t xml:space="preserve">спорт</w:t>
      </w:r>
      <w:r>
        <w:rPr>
          <w:rFonts w:ascii="Tahoma" w:hAnsi="Tahoma" w:cs="Tahoma"/>
          <w:lang w:eastAsia="ru-RU"/>
        </w:rPr>
        <w:t xml:space="preserve">ивных </w:t>
      </w:r>
      <w:r>
        <w:rPr>
          <w:rFonts w:ascii="Tahoma" w:hAnsi="Tahoma" w:cs="Tahoma"/>
          <w:lang w:eastAsia="ru-RU"/>
        </w:rPr>
        <w:t xml:space="preserve">секций</w:t>
      </w:r>
      <w:r>
        <w:rPr>
          <w:rFonts w:ascii="Tahoma" w:hAnsi="Tahoma" w:cs="Tahoma"/>
          <w:lang w:eastAsia="ru-RU"/>
        </w:rPr>
        <w:t xml:space="preserve">.</w:t>
      </w:r>
      <w:bookmarkStart w:id="0" w:name="_GoBack"/>
      <w:r/>
      <w:bookmarkEnd w:id="0"/>
      <w:r/>
      <w:r>
        <w:rPr>
          <w:rFonts w:ascii="Tahoma" w:hAnsi="Tahoma" w:cs="Tahoma"/>
          <w:lang w:eastAsia="ru-RU"/>
        </w:rPr>
      </w:r>
    </w:p>
    <w:p>
      <w:pPr>
        <w:ind w:left="-142"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rPr>
          <w:rFonts w:ascii="Tahoma" w:hAnsi="Tahoma" w:cs="Tahoma"/>
          <w:color w:val="ff0000"/>
        </w:rPr>
      </w:pPr>
      <w:r>
        <w:rPr>
          <w:color w:val="ff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9210675</wp:posOffset>
                </wp:positionV>
                <wp:extent cx="5090795" cy="40640"/>
                <wp:effectExtent l="0" t="0" r="0" b="0"/>
                <wp:wrapNone/>
                <wp:docPr id="2" name="Рисунок 3" descr="R:\ABC\АлтайЭнерго\Бланки\Шаблоны\Полос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R:\ABC\АлтайЭнерго\Бланки\Шаблоны\Полос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90795" cy="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32.75pt;mso-position-horizontal:absolute;mso-position-vertical-relative:text;margin-top:725.25pt;mso-position-vertical:absolute;width:400.85pt;height:3.2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ff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9210675</wp:posOffset>
                </wp:positionV>
                <wp:extent cx="5090795" cy="40640"/>
                <wp:effectExtent l="0" t="0" r="0" b="0"/>
                <wp:wrapNone/>
                <wp:docPr id="3" name="Рисунок 2" descr="R:\ABC\АлтайЭнерго\Бланки\Шаблоны\Полос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R:\ABC\АлтайЭнерго\Бланки\Шаблоны\Полос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90795" cy="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132.75pt;mso-position-horizontal:absolute;mso-position-vertical-relative:text;margin-top:725.25pt;mso-position-vertical:absolute;width:400.85pt;height:3.2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color w:val="ff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49670"/>
                <wp:effectExtent l="0" t="0" r="0" b="762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072560" cy="59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8.00pt;height:3.91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ahoma" w:hAnsi="Tahoma" w:cs="Tahoma"/>
          <w:color w:val="ff0000"/>
        </w:rPr>
      </w:r>
    </w:p>
    <w:p>
      <w:pPr>
        <w:ind w:left="-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sz w:val="18"/>
          <w:szCs w:val="18"/>
          <w:lang w:eastAsia="ru-RU"/>
        </w:rPr>
        <w:t xml:space="preserve">АО «Алтайэнергосбыт»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- одна из крупнейших энергосбытовых компаний Сибирского региона, гарантирующий поставщик электроэнергии на территории Алтайского края и Республики Алтай. Также «Алтайэнергосбыт» оказывает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энергосервисные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услуги, занимается внедрением энергосберегающих технологий.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ind w:left="-142"/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/>
      <w:hyperlink r:id="rId12" w:tooltip="http://www.altaiensb." w:history="1">
        <w:r>
          <w:rPr>
            <w:rStyle w:val="859"/>
            <w:rFonts w:ascii="Tahoma" w:hAnsi="Tahoma" w:eastAsia="Times New Roman" w:cs="Tahoma"/>
            <w:sz w:val="18"/>
            <w:szCs w:val="18"/>
            <w:lang w:eastAsia="ru-RU"/>
          </w:rPr>
          <w:t xml:space="preserve">www.altaiensb.</w:t>
        </w:r>
      </w:hyperlink>
      <w:r>
        <w:rPr>
          <w:rStyle w:val="859"/>
          <w:rFonts w:ascii="Tahoma" w:hAnsi="Tahoma" w:eastAsia="Times New Roman" w:cs="Tahoma"/>
          <w:sz w:val="18"/>
          <w:szCs w:val="18"/>
          <w:lang w:val="en-US" w:eastAsia="ru-RU"/>
        </w:rPr>
        <w:t xml:space="preserve">ru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sectPr>
      <w:footnotePr/>
      <w:endnotePr/>
      <w:type w:val="nextPage"/>
      <w:pgSz w:w="11906" w:h="16838" w:orient="portrait"/>
      <w:pgMar w:top="1134" w:right="991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5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6" w:hanging="360"/>
      </w:pPr>
      <w:rPr>
        <w:rFonts w:hint="default" w:ascii="Tahoma" w:hAnsi="Tahoma" w:eastAsia="Calibri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5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62">
    <w:name w:val="Heading 1"/>
    <w:basedOn w:val="661"/>
    <w:next w:val="661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Header Char"/>
    <w:basedOn w:val="671"/>
    <w:uiPriority w:val="99"/>
  </w:style>
  <w:style w:type="character" w:styleId="688" w:customStyle="1">
    <w:name w:val="Footer Char"/>
    <w:basedOn w:val="671"/>
    <w:uiPriority w:val="99"/>
  </w:style>
  <w:style w:type="character" w:styleId="689" w:customStyle="1">
    <w:name w:val="Caption Char"/>
    <w:basedOn w:val="671"/>
    <w:uiPriority w:val="35"/>
    <w:rPr>
      <w:b/>
      <w:bCs/>
      <w:color w:val="5b9bd5" w:themeColor="accent1"/>
      <w:sz w:val="18"/>
      <w:szCs w:val="18"/>
    </w:rPr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61"/>
    <w:next w:val="661"/>
    <w:link w:val="703"/>
    <w:uiPriority w:val="10"/>
    <w:qFormat/>
    <w:pPr>
      <w:contextualSpacing/>
      <w:spacing w:before="300"/>
    </w:pPr>
    <w:rPr>
      <w:sz w:val="48"/>
      <w:szCs w:val="48"/>
    </w:rPr>
  </w:style>
  <w:style w:type="character" w:styleId="703" w:customStyle="1">
    <w:name w:val="Заголовок Знак"/>
    <w:basedOn w:val="671"/>
    <w:link w:val="702"/>
    <w:uiPriority w:val="10"/>
    <w:rPr>
      <w:sz w:val="48"/>
      <w:szCs w:val="48"/>
    </w:rPr>
  </w:style>
  <w:style w:type="paragraph" w:styleId="704">
    <w:name w:val="Subtitle"/>
    <w:basedOn w:val="661"/>
    <w:next w:val="661"/>
    <w:link w:val="705"/>
    <w:uiPriority w:val="11"/>
    <w:qFormat/>
    <w:pPr>
      <w:spacing w:before="200"/>
    </w:pPr>
    <w:rPr>
      <w:sz w:val="24"/>
      <w:szCs w:val="24"/>
    </w:rPr>
  </w:style>
  <w:style w:type="character" w:styleId="705" w:customStyle="1">
    <w:name w:val="Подзаголовок Знак"/>
    <w:basedOn w:val="671"/>
    <w:link w:val="704"/>
    <w:uiPriority w:val="11"/>
    <w:rPr>
      <w:sz w:val="24"/>
      <w:szCs w:val="24"/>
    </w:rPr>
  </w:style>
  <w:style w:type="paragraph" w:styleId="706">
    <w:name w:val="Quote"/>
    <w:basedOn w:val="661"/>
    <w:next w:val="661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61"/>
    <w:next w:val="661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6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Верхний колонтитул Знак"/>
    <w:basedOn w:val="671"/>
    <w:link w:val="710"/>
    <w:uiPriority w:val="99"/>
  </w:style>
  <w:style w:type="paragraph" w:styleId="712">
    <w:name w:val="Footer"/>
    <w:basedOn w:val="661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 w:customStyle="1">
    <w:name w:val="Нижний колонтитул Знак"/>
    <w:basedOn w:val="671"/>
    <w:link w:val="712"/>
    <w:uiPriority w:val="99"/>
  </w:style>
  <w:style w:type="paragraph" w:styleId="714">
    <w:name w:val="Caption"/>
    <w:basedOn w:val="661"/>
    <w:next w:val="661"/>
    <w:link w:val="71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5" w:customStyle="1">
    <w:name w:val="Название объекта Знак"/>
    <w:basedOn w:val="671"/>
    <w:link w:val="714"/>
    <w:uiPriority w:val="35"/>
    <w:rPr>
      <w:b/>
      <w:bCs/>
      <w:color w:val="5b9bd5" w:themeColor="accent1"/>
      <w:sz w:val="18"/>
      <w:szCs w:val="18"/>
    </w:rPr>
  </w:style>
  <w:style w:type="table" w:styleId="716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8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6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7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8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9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0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1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2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3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0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1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2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3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0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1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2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3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8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9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0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1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2">
    <w:name w:val="footnote text"/>
    <w:basedOn w:val="661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71"/>
    <w:uiPriority w:val="99"/>
    <w:unhideWhenUsed/>
    <w:rPr>
      <w:vertAlign w:val="superscript"/>
    </w:rPr>
  </w:style>
  <w:style w:type="paragraph" w:styleId="845">
    <w:name w:val="endnote text"/>
    <w:basedOn w:val="661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71"/>
    <w:uiPriority w:val="99"/>
    <w:semiHidden/>
    <w:unhideWhenUsed/>
    <w:rPr>
      <w:vertAlign w:val="superscript"/>
    </w:rPr>
  </w:style>
  <w:style w:type="paragraph" w:styleId="848">
    <w:name w:val="toc 1"/>
    <w:basedOn w:val="661"/>
    <w:next w:val="661"/>
    <w:uiPriority w:val="39"/>
    <w:unhideWhenUsed/>
    <w:pPr>
      <w:spacing w:after="57"/>
    </w:pPr>
  </w:style>
  <w:style w:type="paragraph" w:styleId="849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50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51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52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53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4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5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6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1"/>
    <w:next w:val="661"/>
    <w:uiPriority w:val="99"/>
    <w:unhideWhenUsed/>
    <w:pPr>
      <w:spacing w:after="0"/>
    </w:p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Normal (Web)"/>
    <w:basedOn w:val="66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1">
    <w:name w:val="List Paragraph"/>
    <w:basedOn w:val="661"/>
    <w:uiPriority w:val="34"/>
    <w:qFormat/>
    <w:pPr>
      <w:contextualSpacing/>
      <w:ind w:left="720"/>
    </w:pPr>
  </w:style>
  <w:style w:type="character" w:styleId="862" w:customStyle="1">
    <w:name w:val="Неразрешенное упоминание1"/>
    <w:basedOn w:val="671"/>
    <w:uiPriority w:val="99"/>
    <w:semiHidden/>
    <w:unhideWhenUsed/>
    <w:rPr>
      <w:color w:val="605e5c"/>
      <w:shd w:val="clear" w:color="auto" w:fill="e1dfdd"/>
    </w:rPr>
  </w:style>
  <w:style w:type="character" w:styleId="863" w:customStyle="1">
    <w:name w:val="Неразрешенное упоминание2"/>
    <w:basedOn w:val="671"/>
    <w:uiPriority w:val="99"/>
    <w:semiHidden/>
    <w:unhideWhenUsed/>
    <w:rPr>
      <w:color w:val="605e5c"/>
      <w:shd w:val="clear" w:color="auto" w:fill="e1dfdd"/>
    </w:rPr>
  </w:style>
  <w:style w:type="character" w:styleId="864">
    <w:name w:val="Unresolved Mention"/>
    <w:basedOn w:val="67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www.altaiensb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HQ-SCCM01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Татьянина Елена Вениаминовна</dc:creator>
  <cp:keywords/>
  <dc:description/>
  <cp:lastModifiedBy>rykova_mv</cp:lastModifiedBy>
  <cp:revision>108</cp:revision>
  <dcterms:created xsi:type="dcterms:W3CDTF">2022-01-14T02:39:00Z</dcterms:created>
  <dcterms:modified xsi:type="dcterms:W3CDTF">2025-06-30T07:03:05Z</dcterms:modified>
</cp:coreProperties>
</file>