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Прокуратурой района на постоянной основе осуществляется надзор за исполнением законодательства о противодействии коррупции.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Коррупция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Органы прокуратуры при осуществлении надзора за исполнением законодательства о противодействии коррупции руководствуются в своей деятельности Федеральными законами от 25.12.2008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273-ФЗ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противодействии коррупции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3.12.2012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230-ФЗ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7.05.2013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"consultantplus://offline/ref=81E6D6BEB2CFDA878F9F28E1D11E9BC9C919B25075178CA5A4FB64F428F335AF9E088A3B2875459056F19FA693SEB2J"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79-ФЗ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запрете отдельным категориям лиц открывать и иметь счета (в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клады), хранить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риказ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Генпрокуратуры России от 29.08.2014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454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организации прокурорского надзора за исполнением законодательства о противодействии коррупции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от 28.12.2009 № 400 «Об организации проведения антикоррупционной экспертизы нормативных правовых актов».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Важнейшей задачей надзорной деятельности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своевременное предупреждение коррупционных правонарушений, выявление и устранение их причин и условий, минимизаци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(или) ликвидаци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последствий коррупционных правонарушений.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 этой целью органы прокуратуры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систематически провод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поднадзорных органах проверки, в том числе проверки соблюдения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законодательства о противодействи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коррупции, о государственной и муниципальной службе в части соблюдения установленных обязанностей, запретов и ограничений.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результатам осуществления надзора за исполнением законодательства о государственной и муниципальной службе, противодействии коррупции за 11 месяцев 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г. прокуратурой района выявлено 41 нарушение закона, внесено 19 представлений, по которым к дисциплинарной ответственности привлечено 19 лиц, принесено 19 протестов, которые рассмотрены и удовлетворены, к административной ответственности привлечено 6 лиц.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Так, по инициативе прокуратуры района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руководитель муниципального бюджетного учреждения железнодорожного района г. Барнаула привлечен к административной ответственности по ст. 19.29 КоАП РФ.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 </w:t>
        <w:tab/>
        <w:t xml:space="preserve">Как установлено,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руководител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муниципального учреждения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нарушил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антикоррупционного законодательства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 именно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олнил возложенную на него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ч. 4 ст. 12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Федерального закона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25.12.2008 №273-ФЗ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 противодействии коррупции»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обязанность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уведомить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приеме на работу бывшего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государственного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служащего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последнему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службы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Изложенное явилось основанием для возбуждения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отношении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директора муниципального учреждения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дела об административном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правонарушении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предусмотренном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ст. 19.29 КоАП РФ (незаконное привлечение к трудовой деятельности бывшего государственного служащего).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результатам рассмотрения административного дела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миров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ей должностному лицу назначено наказани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виде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административного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штрафа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размере 20 тыс. руб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64"/>
        <w:suppressLineNumbers w:val="false"/>
        <w:pBdr/>
        <w:spacing/>
        <w:ind w:firstLine="708"/>
        <w:contextualSpacing w:val="true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лата штраф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остается на контроле в прокуратуре района.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suppressLineNumbers w:val="false"/>
        <w:pBdr/>
        <w:spacing/>
        <w:ind/>
        <w:contextualSpacing w:val="true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2025-12-08T02:37:46Z</dcterms:modified>
</cp:coreProperties>
</file>