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74" w:rsidRPr="00906773" w:rsidRDefault="001C6274" w:rsidP="00906773">
      <w:pPr>
        <w:jc w:val="right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Приложение 4</w:t>
      </w:r>
    </w:p>
    <w:p w:rsidR="001C6274" w:rsidRPr="00906773" w:rsidRDefault="002766B3" w:rsidP="00906773">
      <w:pPr>
        <w:jc w:val="center"/>
        <w:rPr>
          <w:sz w:val="28"/>
          <w:szCs w:val="28"/>
        </w:rPr>
      </w:pPr>
      <w:r w:rsidRPr="00906773">
        <w:rPr>
          <w:rFonts w:ascii="Times New Roman" w:hAnsi="Times New Roman" w:cs="Times New Roman"/>
          <w:b/>
          <w:sz w:val="28"/>
          <w:szCs w:val="28"/>
        </w:rPr>
        <w:t>Сводный отчет об оценке эффективности налоговых расходов города Барнаула за 2020 год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064"/>
        <w:gridCol w:w="2410"/>
        <w:gridCol w:w="2552"/>
        <w:gridCol w:w="1843"/>
        <w:gridCol w:w="2835"/>
        <w:gridCol w:w="1984"/>
      </w:tblGrid>
      <w:tr w:rsidR="001C6274" w:rsidRPr="00906773" w:rsidTr="00644731">
        <w:trPr>
          <w:trHeight w:val="262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Наименование налогового расхода города Барнаула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Реквизиты муниципального правового акта, устанавливающего налоговую льготу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Численность плательщиков налогов и сборов, воспользовавшихся налоговой льготой в отчетном периоде (единиц)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Объем налоговых льгот за отчетный период </w:t>
            </w:r>
            <w:r w:rsid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(тыс. рублей)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Цели предоставления налоговых льгот, освобождений и иных преференции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Эффективность налоговой льготы</w:t>
            </w:r>
            <w:bookmarkStart w:id="0" w:name="_GoBack"/>
            <w:bookmarkEnd w:id="0"/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 (да/нет)</w:t>
            </w:r>
          </w:p>
        </w:tc>
      </w:tr>
      <w:tr w:rsidR="001C6274" w:rsidRPr="00906773" w:rsidTr="00644731">
        <w:trPr>
          <w:trHeight w:val="37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1C6274" w:rsidRPr="00906773" w:rsidTr="00644731">
        <w:trPr>
          <w:trHeight w:val="375"/>
        </w:trPr>
        <w:tc>
          <w:tcPr>
            <w:tcW w:w="15305" w:type="dxa"/>
            <w:gridSpan w:val="7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Налог на имущество физических лиц</w:t>
            </w:r>
          </w:p>
        </w:tc>
      </w:tr>
      <w:tr w:rsidR="001C6274" w:rsidRPr="00906773" w:rsidTr="00644731">
        <w:trPr>
          <w:trHeight w:val="187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налога на имущество физических лиц детей-сирот и детей, оставшиеся без попечения родителей, в возрасте до 18 лет включительно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09.10.2019 №381 </w:t>
            </w:r>
            <w:r w:rsid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налоге на имущество физических лиц на территории города Барнаула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54,0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906773" w:rsidTr="00644731">
        <w:trPr>
          <w:trHeight w:val="262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налога на имущество физических лиц членов многодетных семей, признанных малоимущими в соответствии с Федеральным законом от 17.07.1999 №178-ФЗ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государственной социальной помощи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09.10.2019 №381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налоге на имущество физических лиц на территории города Барнаула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475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485,0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906773" w:rsidTr="00644731">
        <w:trPr>
          <w:trHeight w:val="375"/>
        </w:trPr>
        <w:tc>
          <w:tcPr>
            <w:tcW w:w="15305" w:type="dxa"/>
            <w:gridSpan w:val="7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Земельный налог</w:t>
            </w:r>
          </w:p>
        </w:tc>
      </w:tr>
      <w:tr w:rsidR="001C6274" w:rsidRPr="00906773" w:rsidTr="00644731">
        <w:trPr>
          <w:trHeight w:val="111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налогоплательщиков в отношении земельных участков, предназначенных для дачного строительства, садоводства и огородничества, расположенные на территории городского округа - города Барнаула Алтайского края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16 521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ind w:left="-445" w:firstLine="445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3 103,0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906773" w:rsidTr="00644731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малоимущих семьи, состоящие на учете в органах социальной защиты населения, за земельные участки, занятые жилищным фондом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Барнаула Алтайского края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55,0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906773" w:rsidTr="00644731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многодетных семей за земельные участки, занятые жилищным фондом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556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307,0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906773" w:rsidTr="00644731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физических лиц за земельные участки, расположенные в зонах, затапливаемых паводковыми и (или) грунтовыми водами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39,0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906773" w:rsidTr="00644731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председателей органов территориального общественного самоуправления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Привлечение населения к решению вопросов развития города через институты гражданского общества, реализация государственной национальной политики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906773" w:rsidTr="00644731">
        <w:trPr>
          <w:trHeight w:val="4500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земельного налога участников Великой Отечественной войны, лиц, награжденные знаком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Житель блокадного Ленинграда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бывших несовершеннолетних узников фашистских концлагерей за земельные участки, занятые жилищным фондом или приобретенные (предоставленные) для индивидуального жилищного строительства, строительства и эксплуатации стационарных индивидуальных гаражей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906773" w:rsidTr="00644731">
        <w:trPr>
          <w:trHeight w:val="454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земельного налога гаражных, погребных, гаражно-погребных кооперативов, имеющие членов - участников Великой Отечественной войны, лиц, награжденных знаком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Житель блокадного Ленинграда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бывших несовершеннолетних узников фашистских концлагерей - на долю земельного участка, определяемую пропорционально количеству членов кооператива, относящихся к данной категории граждан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906773" w:rsidTr="00644731">
        <w:trPr>
          <w:trHeight w:val="211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Предоставление налогового вычета, уменьшающего налоговую базу (50 000 рублей), налогоплательщикам, указанным в пункте 5 статьи 391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386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36,0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</w:tbl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sectPr w:rsidR="001C6274" w:rsidRPr="00906773" w:rsidSect="00906773">
      <w:headerReference w:type="default" r:id="rId6"/>
      <w:pgSz w:w="16838" w:h="11906" w:orient="landscape"/>
      <w:pgMar w:top="0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74" w:rsidRDefault="001C6274" w:rsidP="001C6274">
      <w:pPr>
        <w:spacing w:after="0" w:line="240" w:lineRule="auto"/>
      </w:pPr>
      <w:r>
        <w:separator/>
      </w:r>
    </w:p>
  </w:endnote>
  <w:endnote w:type="continuationSeparator" w:id="0">
    <w:p w:rsidR="001C6274" w:rsidRDefault="001C6274" w:rsidP="001C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74" w:rsidRDefault="001C6274" w:rsidP="001C6274">
      <w:pPr>
        <w:spacing w:after="0" w:line="240" w:lineRule="auto"/>
      </w:pPr>
      <w:r>
        <w:separator/>
      </w:r>
    </w:p>
  </w:footnote>
  <w:footnote w:type="continuationSeparator" w:id="0">
    <w:p w:rsidR="001C6274" w:rsidRDefault="001C6274" w:rsidP="001C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74" w:rsidRPr="001C6274" w:rsidRDefault="001C627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23"/>
    <w:rsid w:val="001C6274"/>
    <w:rsid w:val="002766B3"/>
    <w:rsid w:val="003F5591"/>
    <w:rsid w:val="00644731"/>
    <w:rsid w:val="00716A85"/>
    <w:rsid w:val="00906773"/>
    <w:rsid w:val="00E2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765E5-AD1F-4732-9D46-DCE750EA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274"/>
  </w:style>
  <w:style w:type="paragraph" w:styleId="a5">
    <w:name w:val="footer"/>
    <w:basedOn w:val="a"/>
    <w:link w:val="a6"/>
    <w:uiPriority w:val="99"/>
    <w:unhideWhenUsed/>
    <w:rsid w:val="001C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274"/>
  </w:style>
  <w:style w:type="paragraph" w:styleId="a7">
    <w:name w:val="Balloon Text"/>
    <w:basedOn w:val="a"/>
    <w:link w:val="a8"/>
    <w:uiPriority w:val="99"/>
    <w:semiHidden/>
    <w:unhideWhenUsed/>
    <w:rsid w:val="0090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6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Зонова</dc:creator>
  <cp:keywords/>
  <dc:description/>
  <cp:lastModifiedBy>Екатерина Зонова</cp:lastModifiedBy>
  <cp:revision>4</cp:revision>
  <cp:lastPrinted>2021-08-04T09:02:00Z</cp:lastPrinted>
  <dcterms:created xsi:type="dcterms:W3CDTF">2021-08-04T07:29:00Z</dcterms:created>
  <dcterms:modified xsi:type="dcterms:W3CDTF">2021-08-04T09:26:00Z</dcterms:modified>
</cp:coreProperties>
</file>