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DB6079">
        <w:rPr>
          <w:b w:val="0"/>
          <w:szCs w:val="28"/>
        </w:rPr>
        <w:t xml:space="preserve">Железнодорожного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 xml:space="preserve">, лот </w:t>
      </w:r>
      <w:proofErr w:type="spellStart"/>
      <w:r w:rsidR="002E442B"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обязуюсь</w:t>
      </w:r>
      <w:proofErr w:type="spellEnd"/>
      <w:r w:rsidRPr="000C0AA8"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lastRenderedPageBreak/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рег.№</w:t>
      </w:r>
      <w:proofErr w:type="spellEnd"/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0C0AA8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p w:rsidR="00547C69" w:rsidRPr="00DB6079" w:rsidRDefault="00547C69" w:rsidP="00DB6079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bookmarkStart w:id="0" w:name="_GoBack"/>
      <w:bookmarkEnd w:id="0"/>
    </w:p>
    <w:sectPr w:rsidR="00547C69" w:rsidRPr="00DB6079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A7" w:rsidRDefault="00A810A7">
      <w:pPr>
        <w:spacing w:after="0" w:line="240" w:lineRule="auto"/>
      </w:pPr>
      <w:r>
        <w:separator/>
      </w:r>
    </w:p>
  </w:endnote>
  <w:endnote w:type="continuationSeparator" w:id="0">
    <w:p w:rsidR="00A810A7" w:rsidRDefault="00A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A7" w:rsidRDefault="00A810A7">
      <w:pPr>
        <w:spacing w:after="0" w:line="240" w:lineRule="auto"/>
      </w:pPr>
      <w:r>
        <w:separator/>
      </w:r>
    </w:p>
  </w:footnote>
  <w:footnote w:type="continuationSeparator" w:id="0">
    <w:p w:rsidR="00A810A7" w:rsidRDefault="00A8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8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6EF8-8CC9-4FFF-BF7F-400A2D62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Шелепов</cp:lastModifiedBy>
  <cp:revision>8</cp:revision>
  <cp:lastPrinted>2020-02-19T03:57:00Z</cp:lastPrinted>
  <dcterms:created xsi:type="dcterms:W3CDTF">2021-04-26T12:11:00Z</dcterms:created>
  <dcterms:modified xsi:type="dcterms:W3CDTF">2023-03-02T07:59:00Z</dcterms:modified>
</cp:coreProperties>
</file>