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Железнодорожным районным судом города Барнаула вынесен приговор водителю, повторно управлявшему автомобилем в состоянии опьянения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Железнодорожным районным судом города Барнаула вынесен приговор водителю, управлявшему автомобилем в состоянии опьянения, ранее неоднократно подвергнутому административному наказанию за совершение аналогичных нарушений и назначено наказание в виде обязате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льных работ на срок 280 часов с лишением права заниматься деятельностью, связанной с управлением транспортными средствами, на срок 2 года.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Водитель, управлявший транспортным средством «Киа Рио» в ночное время с признаками опьянения, был задержан сотрудниками ГИБДД и отстранен от управления автомобилем, который он взял у знакомого прокатиться. На предложение пройти освидетельствование, отказа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лся.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судебном заседании обвиняемый согласился с предъявленным обвинением.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2025-06-23T07:01:03Z</dcterms:modified>
</cp:coreProperties>
</file>