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1629" w14:textId="77777777" w:rsidR="00D6003C" w:rsidRDefault="00D60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00E5A" w14:textId="302CF3B3" w:rsidR="00D6003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общественной комиссии по итогам проведения в 2024 году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22.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gorodsreda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 председательством </w:t>
      </w:r>
      <w:r w:rsidR="00666C8A">
        <w:rPr>
          <w:rFonts w:ascii="Times New Roman" w:hAnsi="Times New Roman" w:cs="Times New Roman"/>
          <w:b/>
          <w:sz w:val="28"/>
          <w:szCs w:val="28"/>
        </w:rPr>
        <w:t>з</w:t>
      </w:r>
      <w:r w:rsidR="00666C8A" w:rsidRPr="00666C8A">
        <w:rPr>
          <w:rFonts w:ascii="Times New Roman" w:hAnsi="Times New Roman" w:cs="Times New Roman"/>
          <w:b/>
          <w:sz w:val="28"/>
          <w:szCs w:val="28"/>
        </w:rPr>
        <w:t>аместител</w:t>
      </w:r>
      <w:r w:rsidR="00666C8A">
        <w:rPr>
          <w:rFonts w:ascii="Times New Roman" w:hAnsi="Times New Roman" w:cs="Times New Roman"/>
          <w:b/>
          <w:sz w:val="28"/>
          <w:szCs w:val="28"/>
        </w:rPr>
        <w:t>я</w:t>
      </w:r>
      <w:r w:rsidR="00666C8A" w:rsidRPr="00666C8A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 города по городскому хозяйству, </w:t>
      </w:r>
      <w:proofErr w:type="spellStart"/>
      <w:r w:rsidR="00666C8A" w:rsidRPr="00666C8A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="00666C8A">
        <w:rPr>
          <w:rFonts w:ascii="Times New Roman" w:hAnsi="Times New Roman" w:cs="Times New Roman"/>
          <w:b/>
          <w:sz w:val="28"/>
          <w:szCs w:val="28"/>
        </w:rPr>
        <w:t>я</w:t>
      </w:r>
      <w:r w:rsidR="00666C8A" w:rsidRPr="00666C8A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="00666C8A" w:rsidRPr="00666C8A">
        <w:rPr>
          <w:rFonts w:ascii="Times New Roman" w:hAnsi="Times New Roman" w:cs="Times New Roman"/>
          <w:b/>
          <w:sz w:val="28"/>
          <w:szCs w:val="28"/>
        </w:rPr>
        <w:t xml:space="preserve"> Общественной комиссии по реализации муниципальной программы «Формирование современной городской среды города Барнаула»</w:t>
      </w:r>
      <w:r w:rsidR="00666C8A">
        <w:rPr>
          <w:rFonts w:ascii="Times New Roman" w:hAnsi="Times New Roman" w:cs="Times New Roman"/>
          <w:b/>
          <w:sz w:val="28"/>
          <w:szCs w:val="28"/>
        </w:rPr>
        <w:t xml:space="preserve"> Татьянина С.С.</w:t>
      </w:r>
    </w:p>
    <w:p w14:paraId="368362B8" w14:textId="77777777" w:rsidR="00D6003C" w:rsidRDefault="00D6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F0661" w14:textId="77777777" w:rsidR="00D6003C" w:rsidRDefault="00D60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54B9C3" w14:textId="77777777" w:rsidR="00D6003C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f6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48"/>
      </w:tblGrid>
      <w:tr w:rsidR="00666C8A" w14:paraId="23C14EB1" w14:textId="77777777">
        <w:tc>
          <w:tcPr>
            <w:tcW w:w="3544" w:type="dxa"/>
          </w:tcPr>
          <w:p w14:paraId="40177976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ED1">
              <w:rPr>
                <w:rFonts w:ascii="Times New Roman" w:hAnsi="Times New Roman" w:cs="Times New Roman"/>
                <w:sz w:val="28"/>
                <w:szCs w:val="28"/>
              </w:rPr>
              <w:t>Атаджанов</w:t>
            </w:r>
            <w:proofErr w:type="spellEnd"/>
          </w:p>
          <w:p w14:paraId="5F9B6C52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  <w:p w14:paraId="55B20526" w14:textId="77777777" w:rsidR="00666C8A" w:rsidRDefault="00666C8A" w:rsidP="00666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6897786D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</w:rPr>
              <w:t>эксперт Регионального отделения Народного фронта в Алтайском крае</w:t>
            </w:r>
          </w:p>
          <w:p w14:paraId="297C61D1" w14:textId="77777777" w:rsidR="00666C8A" w:rsidRDefault="00666C8A" w:rsidP="00666C8A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C8A" w14:paraId="309C60DE" w14:textId="77777777">
        <w:tc>
          <w:tcPr>
            <w:tcW w:w="3544" w:type="dxa"/>
          </w:tcPr>
          <w:p w14:paraId="15F3EA5B" w14:textId="77777777" w:rsidR="00666C8A" w:rsidRPr="00DA3ED1" w:rsidRDefault="00666C8A" w:rsidP="00666C8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Гавриленко </w:t>
            </w:r>
          </w:p>
          <w:p w14:paraId="49F4A5E1" w14:textId="49726918" w:rsidR="00666C8A" w:rsidRDefault="00666C8A" w:rsidP="0066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Ивановна</w:t>
            </w:r>
          </w:p>
        </w:tc>
        <w:tc>
          <w:tcPr>
            <w:tcW w:w="5948" w:type="dxa"/>
          </w:tcPr>
          <w:p w14:paraId="5EA14AC8" w14:textId="77777777" w:rsidR="00666C8A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Общественной организации</w:t>
            </w:r>
            <w:r w:rsidRPr="00DA3ED1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3ED1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ного самоуправления «Университетский» Центрального района города </w:t>
            </w:r>
          </w:p>
          <w:p w14:paraId="498C90D0" w14:textId="5002BF08" w:rsidR="00666C8A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C8A" w14:paraId="60CC28D1" w14:textId="77777777">
        <w:tc>
          <w:tcPr>
            <w:tcW w:w="3544" w:type="dxa"/>
          </w:tcPr>
          <w:p w14:paraId="59F99F47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Ильиных </w:t>
            </w:r>
          </w:p>
          <w:p w14:paraId="7A6D592B" w14:textId="77777777" w:rsidR="00666C8A" w:rsidRDefault="00666C8A" w:rsidP="00666C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Дмитрий Васильевич</w:t>
            </w:r>
          </w:p>
          <w:p w14:paraId="42355BBE" w14:textId="58603B16" w:rsidR="00666C8A" w:rsidRDefault="00666C8A" w:rsidP="00666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140D6443" w14:textId="7EC7A217" w:rsidR="00666C8A" w:rsidRDefault="00666C8A" w:rsidP="00666C8A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Думы </w:t>
            </w:r>
          </w:p>
        </w:tc>
      </w:tr>
      <w:tr w:rsidR="00666C8A" w14:paraId="17DC0AEF" w14:textId="77777777">
        <w:tc>
          <w:tcPr>
            <w:tcW w:w="3544" w:type="dxa"/>
          </w:tcPr>
          <w:p w14:paraId="4BA24A29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</w:rPr>
              <w:t>Князева</w:t>
            </w:r>
          </w:p>
          <w:p w14:paraId="2C03DFD6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  <w:p w14:paraId="1346C8E6" w14:textId="77777777" w:rsidR="00666C8A" w:rsidRDefault="00666C8A" w:rsidP="00666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1D95D368" w14:textId="2BAEDF86" w:rsidR="00666C8A" w:rsidRDefault="00666C8A" w:rsidP="00666C8A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Общественной организации территориального общественного самоуправления микрорайона Железнодорожного района города Барнаула «Зеленая Роща» </w:t>
            </w:r>
          </w:p>
        </w:tc>
      </w:tr>
      <w:tr w:rsidR="00666C8A" w14:paraId="51758D89" w14:textId="77777777">
        <w:tc>
          <w:tcPr>
            <w:tcW w:w="3544" w:type="dxa"/>
          </w:tcPr>
          <w:p w14:paraId="6EC1D5CB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ED1">
              <w:rPr>
                <w:rFonts w:ascii="Times New Roman" w:hAnsi="Times New Roman"/>
                <w:sz w:val="28"/>
                <w:szCs w:val="28"/>
              </w:rPr>
              <w:t xml:space="preserve">Королева </w:t>
            </w:r>
          </w:p>
          <w:p w14:paraId="4725B4C8" w14:textId="1D33BCD7" w:rsidR="00666C8A" w:rsidRDefault="00666C8A" w:rsidP="0066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ED1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5948" w:type="dxa"/>
          </w:tcPr>
          <w:p w14:paraId="64E053C1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комитета по социальной поддержке населения</w:t>
            </w:r>
          </w:p>
          <w:p w14:paraId="0C9529E9" w14:textId="77777777" w:rsidR="00666C8A" w:rsidRDefault="00666C8A" w:rsidP="00666C8A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C8A" w14:paraId="0CE58F65" w14:textId="77777777">
        <w:tc>
          <w:tcPr>
            <w:tcW w:w="3544" w:type="dxa"/>
          </w:tcPr>
          <w:p w14:paraId="0CF9F02D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</w:rPr>
              <w:t>Огнев</w:t>
            </w:r>
          </w:p>
          <w:p w14:paraId="25C39BF6" w14:textId="6B7FB8C0" w:rsidR="00666C8A" w:rsidRDefault="00666C8A" w:rsidP="0066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5948" w:type="dxa"/>
          </w:tcPr>
          <w:p w14:paraId="5C42E204" w14:textId="1DDF85C1" w:rsidR="00666C8A" w:rsidRDefault="00666C8A" w:rsidP="00666C8A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</w:rPr>
              <w:t xml:space="preserve">депутат Барнаульской городской Думы </w:t>
            </w:r>
          </w:p>
        </w:tc>
      </w:tr>
      <w:tr w:rsidR="00666C8A" w14:paraId="755A4F1C" w14:textId="77777777">
        <w:tc>
          <w:tcPr>
            <w:tcW w:w="3544" w:type="dxa"/>
          </w:tcPr>
          <w:p w14:paraId="231AF516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Пахоменко</w:t>
            </w:r>
          </w:p>
          <w:p w14:paraId="2AB3901B" w14:textId="5C391AC4" w:rsidR="00666C8A" w:rsidRDefault="00666C8A" w:rsidP="0066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Евгеньевич</w:t>
            </w:r>
          </w:p>
        </w:tc>
        <w:tc>
          <w:tcPr>
            <w:tcW w:w="5948" w:type="dxa"/>
          </w:tcPr>
          <w:p w14:paraId="15C4BFE0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комитета жилищно-коммунального хозяйства по работе с общественностью</w:t>
            </w:r>
          </w:p>
          <w:p w14:paraId="45AC12CE" w14:textId="77777777" w:rsidR="00666C8A" w:rsidRDefault="00666C8A" w:rsidP="00666C8A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C8A" w14:paraId="591AB2A3" w14:textId="77777777">
        <w:tc>
          <w:tcPr>
            <w:tcW w:w="3544" w:type="dxa"/>
          </w:tcPr>
          <w:p w14:paraId="3801B2B7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ED1">
              <w:rPr>
                <w:rFonts w:ascii="Times New Roman" w:hAnsi="Times New Roman" w:cs="Times New Roman"/>
                <w:sz w:val="28"/>
                <w:szCs w:val="28"/>
              </w:rPr>
              <w:t>Перерядов</w:t>
            </w:r>
            <w:proofErr w:type="spellEnd"/>
          </w:p>
          <w:p w14:paraId="3431F51E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</w:rPr>
              <w:t>Вячеслав Владимирович</w:t>
            </w:r>
          </w:p>
          <w:p w14:paraId="2499E30E" w14:textId="77777777" w:rsidR="00666C8A" w:rsidRDefault="00666C8A" w:rsidP="00666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3EA8498E" w14:textId="7B95432E" w:rsidR="00666C8A" w:rsidRDefault="00666C8A" w:rsidP="00666C8A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</w:rPr>
              <w:t>депутат Барнаульской городской Думы</w:t>
            </w:r>
          </w:p>
        </w:tc>
      </w:tr>
      <w:tr w:rsidR="00666C8A" w14:paraId="70F5D082" w14:textId="77777777">
        <w:tc>
          <w:tcPr>
            <w:tcW w:w="3544" w:type="dxa"/>
          </w:tcPr>
          <w:p w14:paraId="283F4043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Поскотина </w:t>
            </w:r>
          </w:p>
          <w:p w14:paraId="2D68FB35" w14:textId="1D910A42" w:rsidR="00666C8A" w:rsidRDefault="00666C8A" w:rsidP="0066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5948" w:type="dxa"/>
          </w:tcPr>
          <w:p w14:paraId="60433721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территориального общественного самоуправления микрорайона «Поток» Октябрьского района города Барнаула </w:t>
            </w:r>
          </w:p>
          <w:p w14:paraId="753B15C4" w14:textId="77777777" w:rsidR="00666C8A" w:rsidRDefault="00666C8A" w:rsidP="00666C8A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F931E" w14:textId="77777777" w:rsidR="00666C8A" w:rsidRDefault="00666C8A" w:rsidP="00666C8A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9DBE6" w14:textId="77777777" w:rsidR="00666C8A" w:rsidRDefault="00666C8A" w:rsidP="00666C8A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C8A" w14:paraId="165BDA55" w14:textId="77777777">
        <w:tc>
          <w:tcPr>
            <w:tcW w:w="3544" w:type="dxa"/>
          </w:tcPr>
          <w:p w14:paraId="0DA6CCD3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Струченко</w:t>
            </w:r>
            <w:proofErr w:type="spellEnd"/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14CEFC8" w14:textId="530C7A57" w:rsidR="00666C8A" w:rsidRDefault="00666C8A" w:rsidP="0066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5948" w:type="dxa"/>
          </w:tcPr>
          <w:p w14:paraId="6E6C57C9" w14:textId="77777777" w:rsidR="00666C8A" w:rsidRDefault="00666C8A" w:rsidP="00666C8A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Барнаульской городской Думы, председатель Совета территориального общественного самоуправления микрорайона «Магистральный» Индустриального района города Барнаула</w:t>
            </w:r>
          </w:p>
          <w:p w14:paraId="1F979C82" w14:textId="20BE4495" w:rsidR="00666C8A" w:rsidRDefault="00666C8A" w:rsidP="00666C8A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C8A" w14:paraId="311F3E84" w14:textId="77777777">
        <w:tc>
          <w:tcPr>
            <w:tcW w:w="3544" w:type="dxa"/>
          </w:tcPr>
          <w:p w14:paraId="3E59CDF6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Ушаков </w:t>
            </w:r>
          </w:p>
          <w:p w14:paraId="5F987463" w14:textId="77777777" w:rsidR="00666C8A" w:rsidRDefault="00666C8A" w:rsidP="00666C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Николай Игоревич</w:t>
            </w:r>
          </w:p>
          <w:p w14:paraId="55F2CB34" w14:textId="163F3B4C" w:rsidR="005125C4" w:rsidRDefault="005125C4" w:rsidP="00666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5E6A5A83" w14:textId="12D29FCA" w:rsidR="00666C8A" w:rsidRDefault="00666C8A" w:rsidP="00666C8A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Думы 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66C8A" w14:paraId="30E87CFB" w14:textId="77777777">
        <w:tc>
          <w:tcPr>
            <w:tcW w:w="3544" w:type="dxa"/>
          </w:tcPr>
          <w:p w14:paraId="3548BF4E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Чемоданова </w:t>
            </w:r>
          </w:p>
          <w:p w14:paraId="16AE0926" w14:textId="42DFF2A5" w:rsidR="00666C8A" w:rsidRDefault="00666C8A" w:rsidP="0066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5948" w:type="dxa"/>
          </w:tcPr>
          <w:p w14:paraId="246C7F95" w14:textId="77777777" w:rsidR="00666C8A" w:rsidRPr="00DA3ED1" w:rsidRDefault="00666C8A" w:rsidP="00666C8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территориального общественного самоуправления «Островский» Ленинского района города Барнаула </w:t>
            </w:r>
          </w:p>
          <w:p w14:paraId="2DA1BD50" w14:textId="77777777" w:rsidR="00666C8A" w:rsidRDefault="00666C8A" w:rsidP="00666C8A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18FC43" w14:textId="77777777" w:rsidR="00D6003C" w:rsidRDefault="00D6003C">
      <w:pPr>
        <w:rPr>
          <w:rFonts w:ascii="Times New Roman" w:hAnsi="Times New Roman" w:cs="Times New Roman"/>
          <w:b/>
          <w:sz w:val="28"/>
          <w:szCs w:val="28"/>
        </w:rPr>
      </w:pPr>
    </w:p>
    <w:p w14:paraId="6B166AA2" w14:textId="17D0699C" w:rsidR="00D6003C" w:rsidRDefault="00000000" w:rsidP="00666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голосования граждан в 2024 году голосования по отбору общественных территорий, подлежащих благоустройству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единой федеральной платформе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22.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gorodsreda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C8A">
        <w:rPr>
          <w:rFonts w:ascii="Times New Roman" w:hAnsi="Times New Roman" w:cs="Times New Roman"/>
          <w:b/>
          <w:sz w:val="28"/>
          <w:szCs w:val="28"/>
        </w:rPr>
        <w:t>городского округа – города Барнаула</w:t>
      </w:r>
    </w:p>
    <w:p w14:paraId="5605B07A" w14:textId="743742B4" w:rsidR="00D6003C" w:rsidRDefault="00000000">
      <w:pPr>
        <w:pStyle w:val="af4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666C8A">
        <w:rPr>
          <w:rFonts w:ascii="Times New Roman" w:hAnsi="Times New Roman" w:cs="Times New Roman"/>
          <w:sz w:val="28"/>
          <w:szCs w:val="28"/>
        </w:rPr>
        <w:t>председателя комитета по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C8A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5125C4">
        <w:rPr>
          <w:rFonts w:ascii="Times New Roman" w:hAnsi="Times New Roman" w:cs="Times New Roman"/>
          <w:sz w:val="28"/>
          <w:szCs w:val="28"/>
        </w:rPr>
        <w:t xml:space="preserve">Воронкова П.В. </w:t>
      </w:r>
      <w:r>
        <w:rPr>
          <w:rFonts w:ascii="Times New Roman" w:hAnsi="Times New Roman" w:cs="Times New Roman"/>
          <w:sz w:val="28"/>
          <w:szCs w:val="28"/>
        </w:rPr>
        <w:t xml:space="preserve">об итогах голосования граждан </w:t>
      </w:r>
      <w:r w:rsidR="005125C4">
        <w:rPr>
          <w:rFonts w:ascii="Times New Roman" w:hAnsi="Times New Roman" w:cs="Times New Roman"/>
          <w:sz w:val="28"/>
          <w:szCs w:val="28"/>
        </w:rPr>
        <w:t>городского округа –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22.gorodsreda.ru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501A41" w14:textId="26A8728A" w:rsidR="00D6003C" w:rsidRDefault="00000000">
      <w:pPr>
        <w:pStyle w:val="af4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результаты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22.gorodsreda.ru по </w:t>
      </w:r>
      <w:r w:rsidR="005125C4">
        <w:rPr>
          <w:rFonts w:ascii="Times New Roman" w:hAnsi="Times New Roman" w:cs="Times New Roman"/>
          <w:sz w:val="28"/>
          <w:szCs w:val="28"/>
        </w:rPr>
        <w:t>городскому округа – городу Барнаула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протоколу (в приложении указывается информация по всем общественным территориям (дизайн-проектам общественных территорий), по которым проводилось голосование в период с 15 марта по 30 апреля 2024 года и количеством  проголосовавших граждан по каждой из территорий). </w:t>
      </w:r>
    </w:p>
    <w:p w14:paraId="230BF29A" w14:textId="273EE2D7" w:rsidR="00D6003C" w:rsidRDefault="00000000">
      <w:pPr>
        <w:pStyle w:val="af4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22.gorodsreda.ru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соответствии с количеством  набранных голосов граждан, определить победителя/победителей (общественная территория либо дизайн-проект) для реализации в 2025 году:</w:t>
      </w:r>
    </w:p>
    <w:p w14:paraId="1C66C042" w14:textId="77777777" w:rsidR="00D6003C" w:rsidRDefault="00D6003C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03" w:type="dxa"/>
        <w:tblInd w:w="-998" w:type="dxa"/>
        <w:tblLook w:val="04A0" w:firstRow="1" w:lastRow="0" w:firstColumn="1" w:lastColumn="0" w:noHBand="0" w:noVBand="1"/>
      </w:tblPr>
      <w:tblGrid>
        <w:gridCol w:w="860"/>
        <w:gridCol w:w="2020"/>
        <w:gridCol w:w="1928"/>
        <w:gridCol w:w="1993"/>
        <w:gridCol w:w="921"/>
        <w:gridCol w:w="980"/>
        <w:gridCol w:w="921"/>
        <w:gridCol w:w="980"/>
      </w:tblGrid>
      <w:tr w:rsidR="00D6003C" w14:paraId="512D9A3F" w14:textId="77777777">
        <w:trPr>
          <w:trHeight w:val="255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744D" w14:textId="77777777" w:rsidR="00D600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 место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7D06" w14:textId="77777777" w:rsidR="00D600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общественной территории (дизайн-проекта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 признанной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победителем по итогам рейтингового голосования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1ADB" w14:textId="77777777" w:rsidR="00D600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объекта общественной территории (парк, сквер, бульвар, набережная, благоустройство памятных мест, площади и иное)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2EEE" w14:textId="77777777" w:rsidR="00D600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голосов, поданных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конкретную  общественную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территорию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9458B" w14:textId="77777777" w:rsidR="00D600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год реализации территории - победителя голосования</w:t>
            </w:r>
          </w:p>
        </w:tc>
      </w:tr>
      <w:tr w:rsidR="00D6003C" w14:paraId="07B3EAB7" w14:textId="77777777">
        <w:trPr>
          <w:trHeight w:val="159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37EE" w14:textId="77777777" w:rsidR="00D6003C" w:rsidRDefault="00D6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8586" w14:textId="77777777" w:rsidR="00D6003C" w:rsidRDefault="00D6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13EA" w14:textId="77777777" w:rsidR="00D6003C" w:rsidRDefault="00D6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AE42" w14:textId="77777777" w:rsidR="00D6003C" w:rsidRDefault="00D6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E0F0" w14:textId="77777777" w:rsidR="00D600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0B30" w14:textId="77777777" w:rsidR="00D600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0C86" w14:textId="77777777" w:rsidR="00D600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6A96" w14:textId="77777777" w:rsidR="00D600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D6003C" w14:paraId="3420B57F" w14:textId="77777777" w:rsidTr="005125C4">
        <w:trPr>
          <w:trHeight w:val="285"/>
        </w:trPr>
        <w:tc>
          <w:tcPr>
            <w:tcW w:w="8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2960" w14:textId="77777777" w:rsidR="00D600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18DF" w14:textId="77777777" w:rsidR="00D600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0A6A" w14:textId="77777777" w:rsidR="00D600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5176" w14:textId="77777777" w:rsidR="00D600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E440" w14:textId="77777777" w:rsidR="00D600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308E" w14:textId="77777777" w:rsidR="00D600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B877" w14:textId="77777777" w:rsidR="00D600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70E4" w14:textId="77777777" w:rsidR="00D600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125C4" w14:paraId="127AC03C" w14:textId="77777777" w:rsidTr="005125C4">
        <w:trPr>
          <w:trHeight w:val="2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A669" w14:textId="1780809C" w:rsidR="005125C4" w:rsidRPr="005125C4" w:rsidRDefault="0051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E4E2" w14:textId="14A29534" w:rsidR="005125C4" w:rsidRPr="005125C4" w:rsidRDefault="0051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зона по адресу</w:t>
            </w:r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ул.Шумакова</w:t>
            </w:r>
            <w:proofErr w:type="spellEnd"/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19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8AAA" w14:textId="02DD276C" w:rsidR="005125C4" w:rsidRPr="005125C4" w:rsidRDefault="0051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зона</w:t>
            </w:r>
          </w:p>
        </w:tc>
        <w:tc>
          <w:tcPr>
            <w:tcW w:w="20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906D" w14:textId="11D4B71E" w:rsidR="005125C4" w:rsidRPr="005125C4" w:rsidRDefault="0051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9406</w:t>
            </w:r>
          </w:p>
        </w:tc>
        <w:tc>
          <w:tcPr>
            <w:tcW w:w="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51F4" w14:textId="0A2D6B5B" w:rsidR="005125C4" w:rsidRPr="005125C4" w:rsidRDefault="0051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EBDC" w14:textId="77777777" w:rsidR="005125C4" w:rsidRPr="005125C4" w:rsidRDefault="0051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382D" w14:textId="77777777" w:rsidR="005125C4" w:rsidRPr="005125C4" w:rsidRDefault="0051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0DB6" w14:textId="77777777" w:rsidR="005125C4" w:rsidRPr="005125C4" w:rsidRDefault="0051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5C4" w14:paraId="19C6F670" w14:textId="77777777" w:rsidTr="005125C4">
        <w:trPr>
          <w:trHeight w:val="2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6D34" w14:textId="4D8F8F7D" w:rsidR="005125C4" w:rsidRPr="005125C4" w:rsidRDefault="0051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382F" w14:textId="7D17B6C0" w:rsidR="005125C4" w:rsidRPr="005125C4" w:rsidRDefault="0051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Дизайн-проект благоустройства зеленой зоны, расположенной в границах земельных участков: </w:t>
            </w:r>
            <w:proofErr w:type="spellStart"/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ул.Антона</w:t>
            </w:r>
            <w:proofErr w:type="spellEnd"/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Петрова, 221 е, ж, л, </w:t>
            </w:r>
            <w:proofErr w:type="spellStart"/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ул.Ленинрадская</w:t>
            </w:r>
            <w:proofErr w:type="spellEnd"/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1, 5а, </w:t>
            </w:r>
            <w:proofErr w:type="spellStart"/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ул.Энтузиастов</w:t>
            </w:r>
            <w:proofErr w:type="spellEnd"/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 (второй вариант)</w:t>
            </w:r>
          </w:p>
        </w:tc>
        <w:tc>
          <w:tcPr>
            <w:tcW w:w="19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4A2E" w14:textId="0D784591" w:rsidR="005125C4" w:rsidRPr="005125C4" w:rsidRDefault="0051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зона</w:t>
            </w:r>
          </w:p>
        </w:tc>
        <w:tc>
          <w:tcPr>
            <w:tcW w:w="20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77CB" w14:textId="406A44A4" w:rsidR="005125C4" w:rsidRPr="005125C4" w:rsidRDefault="0051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</w:t>
            </w:r>
          </w:p>
        </w:tc>
        <w:tc>
          <w:tcPr>
            <w:tcW w:w="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593F" w14:textId="47D81414" w:rsidR="005125C4" w:rsidRPr="005125C4" w:rsidRDefault="0051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B010" w14:textId="77777777" w:rsidR="005125C4" w:rsidRPr="005125C4" w:rsidRDefault="0051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180E" w14:textId="77777777" w:rsidR="005125C4" w:rsidRPr="005125C4" w:rsidRDefault="0051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7415" w14:textId="77777777" w:rsidR="005125C4" w:rsidRPr="005125C4" w:rsidRDefault="0051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88AB0A4" w14:textId="77777777" w:rsidR="00D6003C" w:rsidRDefault="00D60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73435" w14:textId="77777777" w:rsidR="00D6003C" w:rsidRDefault="00D6003C">
      <w:pPr>
        <w:pStyle w:val="af4"/>
        <w:spacing w:after="0" w:line="240" w:lineRule="auto"/>
        <w:ind w:left="142"/>
        <w:jc w:val="both"/>
      </w:pPr>
    </w:p>
    <w:tbl>
      <w:tblPr>
        <w:tblW w:w="10743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6"/>
        <w:gridCol w:w="2409"/>
        <w:gridCol w:w="2238"/>
      </w:tblGrid>
      <w:tr w:rsidR="005125C4" w:rsidRPr="005125C4" w14:paraId="55147073" w14:textId="77777777" w:rsidTr="005125C4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DCEA203" w14:textId="77777777" w:rsidR="005125C4" w:rsidRPr="005125C4" w:rsidRDefault="0051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города по городскому хозяйству, председатель Общественной комиссии по реализации муниципальной программы «Формирование современной городской среды города Барнаула»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E6F06" w14:textId="77777777" w:rsidR="005125C4" w:rsidRPr="005125C4" w:rsidRDefault="0051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14:paraId="17E6365F" w14:textId="77777777" w:rsidR="005125C4" w:rsidRPr="005125C4" w:rsidRDefault="005125C4" w:rsidP="0051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93BDBC0" w14:textId="77777777" w:rsidR="005125C4" w:rsidRPr="005125C4" w:rsidRDefault="005125C4" w:rsidP="0051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EA69049" w14:textId="77777777" w:rsidR="005125C4" w:rsidRPr="005125C4" w:rsidRDefault="005125C4" w:rsidP="0051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96C6CB6" w14:textId="77777777" w:rsidR="005125C4" w:rsidRPr="005125C4" w:rsidRDefault="005125C4" w:rsidP="0051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40D6AD7" w14:textId="77777777" w:rsidR="005125C4" w:rsidRDefault="005125C4" w:rsidP="0051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7401CC7" w14:textId="62683D88" w:rsidR="005125C4" w:rsidRPr="005125C4" w:rsidRDefault="005125C4" w:rsidP="0051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С.С. Татьянин</w:t>
            </w:r>
          </w:p>
        </w:tc>
      </w:tr>
    </w:tbl>
    <w:p w14:paraId="6DEE4698" w14:textId="77777777" w:rsidR="00D6003C" w:rsidRDefault="00D6003C">
      <w:pPr>
        <w:pStyle w:val="af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6003C">
      <w:headerReference w:type="default" r:id="rId7"/>
      <w:pgSz w:w="11906" w:h="16838"/>
      <w:pgMar w:top="28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297D" w14:textId="77777777" w:rsidR="009A58B4" w:rsidRDefault="009A58B4">
      <w:pPr>
        <w:spacing w:after="0" w:line="240" w:lineRule="auto"/>
      </w:pPr>
      <w:r>
        <w:separator/>
      </w:r>
    </w:p>
  </w:endnote>
  <w:endnote w:type="continuationSeparator" w:id="0">
    <w:p w14:paraId="044610E9" w14:textId="77777777" w:rsidR="009A58B4" w:rsidRDefault="009A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E1E2" w14:textId="77777777" w:rsidR="009A58B4" w:rsidRDefault="009A58B4">
      <w:pPr>
        <w:spacing w:after="0" w:line="240" w:lineRule="auto"/>
      </w:pPr>
      <w:r>
        <w:separator/>
      </w:r>
    </w:p>
  </w:footnote>
  <w:footnote w:type="continuationSeparator" w:id="0">
    <w:p w14:paraId="2C12EAD1" w14:textId="77777777" w:rsidR="009A58B4" w:rsidRDefault="009A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4482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2DDC2BB" w14:textId="77777777" w:rsidR="00D6003C" w:rsidRPr="005125C4" w:rsidRDefault="00000000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25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25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25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125C4">
          <w:rPr>
            <w:rFonts w:ascii="Times New Roman" w:hAnsi="Times New Roman" w:cs="Times New Roman"/>
            <w:sz w:val="28"/>
            <w:szCs w:val="28"/>
          </w:rPr>
          <w:t>2</w:t>
        </w:r>
        <w:r w:rsidRPr="005125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0847DE3" w14:textId="77777777" w:rsidR="00D6003C" w:rsidRDefault="00D600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6D8"/>
    <w:multiLevelType w:val="hybridMultilevel"/>
    <w:tmpl w:val="0F7C5E0A"/>
    <w:lvl w:ilvl="0" w:tplc="2586F0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DC0F242">
      <w:start w:val="1"/>
      <w:numFmt w:val="lowerLetter"/>
      <w:lvlText w:val="%2."/>
      <w:lvlJc w:val="left"/>
      <w:pPr>
        <w:ind w:left="1222" w:hanging="360"/>
      </w:pPr>
    </w:lvl>
    <w:lvl w:ilvl="2" w:tplc="79901764">
      <w:start w:val="1"/>
      <w:numFmt w:val="lowerRoman"/>
      <w:lvlText w:val="%3."/>
      <w:lvlJc w:val="right"/>
      <w:pPr>
        <w:ind w:left="1942" w:hanging="180"/>
      </w:pPr>
    </w:lvl>
    <w:lvl w:ilvl="3" w:tplc="9FFAAA66">
      <w:start w:val="1"/>
      <w:numFmt w:val="decimal"/>
      <w:lvlText w:val="%4."/>
      <w:lvlJc w:val="left"/>
      <w:pPr>
        <w:ind w:left="2662" w:hanging="360"/>
      </w:pPr>
    </w:lvl>
    <w:lvl w:ilvl="4" w:tplc="AD481AE4">
      <w:start w:val="1"/>
      <w:numFmt w:val="lowerLetter"/>
      <w:lvlText w:val="%5."/>
      <w:lvlJc w:val="left"/>
      <w:pPr>
        <w:ind w:left="3382" w:hanging="360"/>
      </w:pPr>
    </w:lvl>
    <w:lvl w:ilvl="5" w:tplc="0B6804DC">
      <w:start w:val="1"/>
      <w:numFmt w:val="lowerRoman"/>
      <w:lvlText w:val="%6."/>
      <w:lvlJc w:val="right"/>
      <w:pPr>
        <w:ind w:left="4102" w:hanging="180"/>
      </w:pPr>
    </w:lvl>
    <w:lvl w:ilvl="6" w:tplc="B2666CE8">
      <w:start w:val="1"/>
      <w:numFmt w:val="decimal"/>
      <w:lvlText w:val="%7."/>
      <w:lvlJc w:val="left"/>
      <w:pPr>
        <w:ind w:left="4822" w:hanging="360"/>
      </w:pPr>
    </w:lvl>
    <w:lvl w:ilvl="7" w:tplc="98649D90">
      <w:start w:val="1"/>
      <w:numFmt w:val="lowerLetter"/>
      <w:lvlText w:val="%8."/>
      <w:lvlJc w:val="left"/>
      <w:pPr>
        <w:ind w:left="5542" w:hanging="360"/>
      </w:pPr>
    </w:lvl>
    <w:lvl w:ilvl="8" w:tplc="27E62160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833E52"/>
    <w:multiLevelType w:val="multilevel"/>
    <w:tmpl w:val="906285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" w15:restartNumberingAfterBreak="0">
    <w:nsid w:val="4EBD790F"/>
    <w:multiLevelType w:val="hybridMultilevel"/>
    <w:tmpl w:val="30B628FA"/>
    <w:lvl w:ilvl="0" w:tplc="44DAF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3C2480">
      <w:start w:val="1"/>
      <w:numFmt w:val="lowerLetter"/>
      <w:lvlText w:val="%2."/>
      <w:lvlJc w:val="left"/>
      <w:pPr>
        <w:ind w:left="1440" w:hanging="360"/>
      </w:pPr>
    </w:lvl>
    <w:lvl w:ilvl="2" w:tplc="922C3F82">
      <w:start w:val="1"/>
      <w:numFmt w:val="lowerRoman"/>
      <w:lvlText w:val="%3."/>
      <w:lvlJc w:val="right"/>
      <w:pPr>
        <w:ind w:left="2160" w:hanging="180"/>
      </w:pPr>
    </w:lvl>
    <w:lvl w:ilvl="3" w:tplc="E8FCBCF4">
      <w:start w:val="1"/>
      <w:numFmt w:val="decimal"/>
      <w:lvlText w:val="%4."/>
      <w:lvlJc w:val="left"/>
      <w:pPr>
        <w:ind w:left="2880" w:hanging="360"/>
      </w:pPr>
    </w:lvl>
    <w:lvl w:ilvl="4" w:tplc="95729F6A">
      <w:start w:val="1"/>
      <w:numFmt w:val="lowerLetter"/>
      <w:lvlText w:val="%5."/>
      <w:lvlJc w:val="left"/>
      <w:pPr>
        <w:ind w:left="3600" w:hanging="360"/>
      </w:pPr>
    </w:lvl>
    <w:lvl w:ilvl="5" w:tplc="2D6627D2">
      <w:start w:val="1"/>
      <w:numFmt w:val="lowerRoman"/>
      <w:lvlText w:val="%6."/>
      <w:lvlJc w:val="right"/>
      <w:pPr>
        <w:ind w:left="4320" w:hanging="180"/>
      </w:pPr>
    </w:lvl>
    <w:lvl w:ilvl="6" w:tplc="0966E56A">
      <w:start w:val="1"/>
      <w:numFmt w:val="decimal"/>
      <w:lvlText w:val="%7."/>
      <w:lvlJc w:val="left"/>
      <w:pPr>
        <w:ind w:left="5040" w:hanging="360"/>
      </w:pPr>
    </w:lvl>
    <w:lvl w:ilvl="7" w:tplc="C62618F8">
      <w:start w:val="1"/>
      <w:numFmt w:val="lowerLetter"/>
      <w:lvlText w:val="%8."/>
      <w:lvlJc w:val="left"/>
      <w:pPr>
        <w:ind w:left="5760" w:hanging="360"/>
      </w:pPr>
    </w:lvl>
    <w:lvl w:ilvl="8" w:tplc="52BEA74E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659135">
    <w:abstractNumId w:val="2"/>
  </w:num>
  <w:num w:numId="2" w16cid:durableId="1629899167">
    <w:abstractNumId w:val="1"/>
  </w:num>
  <w:num w:numId="3" w16cid:durableId="102649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03C"/>
    <w:rsid w:val="005125C4"/>
    <w:rsid w:val="005D02EC"/>
    <w:rsid w:val="00666C8A"/>
    <w:rsid w:val="009A58B4"/>
    <w:rsid w:val="00D6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C333"/>
  <w15:docId w15:val="{108DD32C-E289-4B17-A469-176DF1F4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character" w:customStyle="1" w:styleId="af5">
    <w:name w:val="Абзац списка Знак"/>
    <w:basedOn w:val="a0"/>
    <w:link w:val="af4"/>
    <w:uiPriority w:val="34"/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Екатерина С. Ширяева</cp:lastModifiedBy>
  <cp:revision>4</cp:revision>
  <cp:lastPrinted>2024-05-08T03:48:00Z</cp:lastPrinted>
  <dcterms:created xsi:type="dcterms:W3CDTF">2023-05-31T16:05:00Z</dcterms:created>
  <dcterms:modified xsi:type="dcterms:W3CDTF">2024-05-08T03:50:00Z</dcterms:modified>
</cp:coreProperties>
</file>