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9F10B6">
        <w:rPr>
          <w:b/>
          <w:sz w:val="24"/>
          <w:szCs w:val="24"/>
        </w:rPr>
        <w:t>июнь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8139BB" w:rsidRDefault="00C66892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9F10B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9F10B6">
              <w:rPr>
                <w:spacing w:val="-8"/>
                <w:sz w:val="22"/>
                <w:szCs w:val="22"/>
              </w:rPr>
              <w:t>июнь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366100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100,4</w:t>
            </w:r>
          </w:p>
        </w:tc>
        <w:tc>
          <w:tcPr>
            <w:tcW w:w="934" w:type="dxa"/>
          </w:tcPr>
          <w:p w:rsidR="000E1F15" w:rsidRPr="006A177B" w:rsidRDefault="003F5042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D16936">
              <w:rPr>
                <w:spacing w:val="-4"/>
                <w:sz w:val="24"/>
                <w:szCs w:val="24"/>
              </w:rPr>
              <w:t>97,</w:t>
            </w:r>
            <w:r w:rsidR="00366100">
              <w:rPr>
                <w:spacing w:val="-4"/>
                <w:sz w:val="24"/>
                <w:szCs w:val="24"/>
              </w:rPr>
              <w:t>6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03560E" w:rsidP="0003560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214,7</w:t>
            </w:r>
          </w:p>
        </w:tc>
        <w:tc>
          <w:tcPr>
            <w:tcW w:w="934" w:type="dxa"/>
          </w:tcPr>
          <w:p w:rsidR="000E1F15" w:rsidRPr="006A177B" w:rsidRDefault="0003560E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176,9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102,6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6A177B" w:rsidRDefault="0035549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102,6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103,2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35549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104,8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101,8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101,2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102,8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A849B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49B7">
              <w:rPr>
                <w:spacing w:val="-4"/>
                <w:sz w:val="24"/>
                <w:szCs w:val="24"/>
              </w:rPr>
              <w:t>101,2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03560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03560E">
              <w:rPr>
                <w:i/>
                <w:sz w:val="22"/>
                <w:szCs w:val="22"/>
              </w:rPr>
              <w:t>май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03560E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35378</w:t>
            </w:r>
          </w:p>
        </w:tc>
        <w:tc>
          <w:tcPr>
            <w:tcW w:w="934" w:type="dxa"/>
            <w:vAlign w:val="center"/>
          </w:tcPr>
          <w:p w:rsidR="002E1928" w:rsidRPr="006A177B" w:rsidRDefault="0003560E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38351</w:t>
            </w:r>
          </w:p>
        </w:tc>
      </w:tr>
      <w:tr w:rsidR="002E1928" w:rsidRPr="00780EBC" w:rsidTr="00E840CF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03560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03560E">
              <w:rPr>
                <w:i/>
                <w:sz w:val="22"/>
                <w:szCs w:val="22"/>
              </w:rPr>
              <w:t>май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2E1928" w:rsidRPr="006A177B" w:rsidRDefault="0003560E" w:rsidP="0003560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27447,7</w:t>
            </w:r>
          </w:p>
        </w:tc>
        <w:tc>
          <w:tcPr>
            <w:tcW w:w="934" w:type="dxa"/>
          </w:tcPr>
          <w:p w:rsidR="002E1928" w:rsidRPr="006A177B" w:rsidRDefault="0003560E" w:rsidP="0003560E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544FA3">
              <w:rPr>
                <w:spacing w:val="-4"/>
                <w:sz w:val="24"/>
                <w:szCs w:val="24"/>
              </w:rPr>
              <w:t>30099,2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0E1F15" w:rsidP="00544F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</w:t>
            </w:r>
            <w:r w:rsidR="00544FA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0E1F15" w:rsidRPr="006A177B" w:rsidRDefault="007A631F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1,29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7A631F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1,1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366100">
        <w:rPr>
          <w:spacing w:val="-4"/>
          <w:sz w:val="24"/>
          <w:szCs w:val="24"/>
        </w:rPr>
        <w:t>97,6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98,9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3F5042">
        <w:rPr>
          <w:spacing w:val="-4"/>
          <w:sz w:val="24"/>
          <w:szCs w:val="24"/>
        </w:rPr>
        <w:t>9</w:t>
      </w:r>
      <w:r w:rsidR="00366100">
        <w:rPr>
          <w:spacing w:val="-4"/>
          <w:sz w:val="24"/>
          <w:szCs w:val="24"/>
        </w:rPr>
        <w:t>6</w:t>
      </w:r>
      <w:r w:rsidR="003F5042">
        <w:rPr>
          <w:spacing w:val="-4"/>
          <w:sz w:val="24"/>
          <w:szCs w:val="24"/>
        </w:rPr>
        <w:t>,6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366100" w:rsidRPr="0003560E">
        <w:rPr>
          <w:spacing w:val="-4"/>
          <w:sz w:val="24"/>
          <w:szCs w:val="24"/>
        </w:rPr>
        <w:t>99,7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366100" w:rsidRPr="0003560E">
        <w:rPr>
          <w:spacing w:val="-4"/>
          <w:sz w:val="24"/>
          <w:szCs w:val="24"/>
        </w:rPr>
        <w:t>85,8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366100" w:rsidRPr="0003560E">
        <w:rPr>
          <w:spacing w:val="-4"/>
          <w:sz w:val="24"/>
          <w:szCs w:val="24"/>
        </w:rPr>
        <w:t>91,3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511" cy="683812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366100">
        <w:rPr>
          <w:color w:val="000000"/>
          <w:spacing w:val="-4"/>
        </w:rPr>
        <w:t>в производстве химических веществ и продуктов (</w:t>
      </w:r>
      <w:r w:rsidR="00366100" w:rsidRPr="001C598F">
        <w:rPr>
          <w:spacing w:val="-4"/>
        </w:rPr>
        <w:t>индекс производства – 155,7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 xml:space="preserve">), </w:t>
      </w:r>
      <w:r w:rsidR="00C010BA">
        <w:rPr>
          <w:color w:val="000000"/>
          <w:spacing w:val="-4"/>
        </w:rPr>
        <w:t xml:space="preserve">в металлургии </w:t>
      </w:r>
      <w:r w:rsidR="00C010BA" w:rsidRPr="00E16BBF">
        <w:rPr>
          <w:spacing w:val="-4"/>
        </w:rPr>
        <w:t>(</w:t>
      </w:r>
      <w:r w:rsidR="00366100">
        <w:rPr>
          <w:color w:val="000000"/>
          <w:spacing w:val="-4"/>
        </w:rPr>
        <w:t>155</w:t>
      </w:r>
      <w:r w:rsidR="00C010BA" w:rsidRPr="00B960E8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366100">
        <w:rPr>
          <w:color w:val="000000"/>
          <w:spacing w:val="-4"/>
        </w:rPr>
        <w:t>производстве</w:t>
      </w:r>
      <w:r w:rsidR="00366100" w:rsidRPr="00840701">
        <w:rPr>
          <w:spacing w:val="-4"/>
        </w:rPr>
        <w:t xml:space="preserve"> </w:t>
      </w:r>
      <w:r w:rsidR="00840701" w:rsidRPr="00840701">
        <w:rPr>
          <w:spacing w:val="-4"/>
        </w:rPr>
        <w:t>бумаги и бумажных изделий</w:t>
      </w:r>
      <w:r w:rsidR="00840701" w:rsidRPr="0024235B">
        <w:rPr>
          <w:spacing w:val="-4"/>
        </w:rPr>
        <w:t xml:space="preserve"> </w:t>
      </w:r>
      <w:r w:rsidR="00840701" w:rsidRPr="00840701">
        <w:rPr>
          <w:spacing w:val="-4"/>
        </w:rPr>
        <w:t>(</w:t>
      </w:r>
      <w:r w:rsidR="00366100" w:rsidRPr="001C598F">
        <w:rPr>
          <w:spacing w:val="-4"/>
        </w:rPr>
        <w:t>134,1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), </w:t>
      </w:r>
      <w:r w:rsidR="00366100">
        <w:rPr>
          <w:color w:val="000000"/>
          <w:spacing w:val="-4"/>
        </w:rPr>
        <w:t>кожи и изделий из кожи (</w:t>
      </w:r>
      <w:r w:rsidR="001C598F">
        <w:rPr>
          <w:color w:val="000000"/>
          <w:spacing w:val="-4"/>
        </w:rPr>
        <w:t>128,1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 xml:space="preserve">), </w:t>
      </w:r>
      <w:r w:rsidR="001C598F">
        <w:rPr>
          <w:color w:val="000000"/>
          <w:spacing w:val="-4"/>
        </w:rPr>
        <w:t>ремонте и монтаже машин и оборудования (118,2</w:t>
      </w:r>
      <w:r w:rsidR="001C598F" w:rsidRPr="00507AB0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 xml:space="preserve">), </w:t>
      </w:r>
      <w:r w:rsidR="00083BD2">
        <w:rPr>
          <w:color w:val="000000"/>
          <w:spacing w:val="-4"/>
        </w:rPr>
        <w:t xml:space="preserve">производстве </w:t>
      </w:r>
      <w:r w:rsidR="00C010BA" w:rsidRPr="0024235B">
        <w:rPr>
          <w:spacing w:val="-4"/>
        </w:rPr>
        <w:t>готовых металлических изделий</w:t>
      </w:r>
      <w:r w:rsidR="00C010BA">
        <w:rPr>
          <w:color w:val="000000"/>
          <w:spacing w:val="-4"/>
        </w:rPr>
        <w:t xml:space="preserve"> (</w:t>
      </w:r>
      <w:r w:rsidR="00840701" w:rsidRPr="00840701">
        <w:rPr>
          <w:spacing w:val="-4"/>
        </w:rPr>
        <w:t>11</w:t>
      </w:r>
      <w:r w:rsidR="001C598F">
        <w:rPr>
          <w:spacing w:val="-4"/>
        </w:rPr>
        <w:t>6</w:t>
      </w:r>
      <w:r w:rsidR="00840701" w:rsidRPr="00840701">
        <w:rPr>
          <w:spacing w:val="-4"/>
        </w:rPr>
        <w:t>,</w:t>
      </w:r>
      <w:r w:rsidR="001C598F">
        <w:rPr>
          <w:spacing w:val="-4"/>
        </w:rPr>
        <w:t>7</w:t>
      </w:r>
      <w:r w:rsidR="00C010BA" w:rsidRPr="00507AB0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 xml:space="preserve">)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1C598F" w:rsidRPr="00840701">
        <w:rPr>
          <w:color w:val="000000"/>
          <w:spacing w:val="-4"/>
        </w:rPr>
        <w:t>электронных и оптических изделий</w:t>
      </w:r>
      <w:r w:rsidR="001C598F">
        <w:rPr>
          <w:color w:val="000000"/>
          <w:spacing w:val="-4"/>
        </w:rPr>
        <w:t xml:space="preserve"> (</w:t>
      </w:r>
      <w:r w:rsidR="001C598F" w:rsidRPr="00B03AA9">
        <w:rPr>
          <w:spacing w:val="-4"/>
        </w:rPr>
        <w:t>92,2</w:t>
      </w:r>
      <w:r w:rsidR="001C598F" w:rsidRPr="00507AB0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>), полиграфической деятельности (91,9</w:t>
      </w:r>
      <w:r w:rsidR="00710709" w:rsidRPr="008F3EDC">
        <w:rPr>
          <w:spacing w:val="-4"/>
        </w:rPr>
        <w:t>%</w:t>
      </w:r>
      <w:r w:rsidR="001C598F" w:rsidRPr="00B03AA9">
        <w:rPr>
          <w:color w:val="000000"/>
          <w:spacing w:val="-4"/>
        </w:rPr>
        <w:t>), одежды</w:t>
      </w:r>
      <w:r w:rsidR="001C598F" w:rsidRPr="0024235B">
        <w:rPr>
          <w:color w:val="000000"/>
          <w:spacing w:val="-4"/>
        </w:rPr>
        <w:t xml:space="preserve"> </w:t>
      </w:r>
      <w:r w:rsidR="001C598F">
        <w:rPr>
          <w:color w:val="000000"/>
          <w:spacing w:val="-4"/>
        </w:rPr>
        <w:t>(91,5</w:t>
      </w:r>
      <w:r w:rsidR="001C598F" w:rsidRPr="00B960E8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>),</w:t>
      </w:r>
      <w:r w:rsidR="001C598F" w:rsidRPr="001C598F">
        <w:rPr>
          <w:color w:val="000000"/>
          <w:spacing w:val="-4"/>
        </w:rPr>
        <w:t xml:space="preserve"> </w:t>
      </w:r>
      <w:r w:rsidR="001C598F">
        <w:rPr>
          <w:color w:val="000000"/>
          <w:spacing w:val="-4"/>
        </w:rPr>
        <w:t>автотранспортных средств, прицепов и полуприцепов (91,4</w:t>
      </w:r>
      <w:r w:rsidR="001C598F" w:rsidRPr="00B960E8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 xml:space="preserve">), </w:t>
      </w:r>
      <w:r w:rsidR="00B03AA9">
        <w:rPr>
          <w:color w:val="000000"/>
          <w:spacing w:val="-4"/>
        </w:rPr>
        <w:t>текстильных изделий (87,8</w:t>
      </w:r>
      <w:r w:rsidR="00B03AA9" w:rsidRPr="00507AB0">
        <w:rPr>
          <w:color w:val="000000"/>
          <w:spacing w:val="-4"/>
        </w:rPr>
        <w:t>%</w:t>
      </w:r>
      <w:r w:rsidR="00B03AA9">
        <w:rPr>
          <w:color w:val="000000"/>
          <w:spacing w:val="-4"/>
        </w:rPr>
        <w:t xml:space="preserve">)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99287A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693559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99287A" w:rsidRPr="0099287A">
        <w:rPr>
          <w:spacing w:val="-2"/>
          <w:sz w:val="24"/>
          <w:szCs w:val="24"/>
        </w:rPr>
        <w:t>6295,9</w:t>
      </w:r>
      <w:r w:rsidR="00D16936">
        <w:rPr>
          <w:rFonts w:ascii="Roboto" w:hAnsi="Roboto"/>
          <w:color w:val="5B5B5B"/>
          <w:sz w:val="19"/>
          <w:szCs w:val="19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99287A" w:rsidRPr="0099287A">
        <w:rPr>
          <w:spacing w:val="-2"/>
          <w:sz w:val="24"/>
          <w:szCs w:val="24"/>
        </w:rPr>
        <w:t>94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99287A" w:rsidRPr="0099287A">
        <w:rPr>
          <w:spacing w:val="-2"/>
          <w:sz w:val="24"/>
          <w:szCs w:val="24"/>
        </w:rPr>
        <w:t>43,5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99287A" w:rsidRPr="0099287A">
        <w:rPr>
          <w:spacing w:val="-2"/>
          <w:sz w:val="24"/>
          <w:szCs w:val="24"/>
        </w:rPr>
        <w:t>2975,2</w:t>
      </w:r>
      <w:r w:rsidR="0099287A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99287A" w:rsidRPr="0099287A">
        <w:rPr>
          <w:spacing w:val="-2"/>
          <w:sz w:val="24"/>
          <w:szCs w:val="24"/>
        </w:rPr>
        <w:t>89,9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99287A">
        <w:rPr>
          <w:spacing w:val="-2"/>
          <w:sz w:val="24"/>
          <w:szCs w:val="24"/>
        </w:rPr>
        <w:t>июню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99287A" w:rsidRPr="0099287A">
        <w:rPr>
          <w:spacing w:val="-2"/>
          <w:sz w:val="24"/>
          <w:szCs w:val="24"/>
        </w:rPr>
        <w:t>40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99287A" w:rsidRDefault="004C3237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81951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23A0" w:rsidRDefault="002B23A0" w:rsidP="00693559">
      <w:pPr>
        <w:ind w:firstLine="709"/>
        <w:jc w:val="both"/>
        <w:rPr>
          <w:sz w:val="24"/>
          <w:szCs w:val="24"/>
        </w:rPr>
      </w:pPr>
    </w:p>
    <w:p w:rsidR="00E81171" w:rsidRDefault="00E81171" w:rsidP="001A4A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2B23A0" w:rsidRPr="002B23A0">
        <w:rPr>
          <w:sz w:val="24"/>
          <w:szCs w:val="24"/>
        </w:rPr>
        <w:t>6547,7</w:t>
      </w:r>
      <w:r w:rsidR="002B23A0">
        <w:rPr>
          <w:rFonts w:ascii="Roboto" w:eastAsia="Times New Roman" w:hAnsi="Roboto"/>
          <w:color w:val="5B5B5B"/>
          <w:sz w:val="20"/>
          <w:szCs w:val="20"/>
          <w:lang w:eastAsia="ru-RU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2B23A0" w:rsidRPr="002B23A0">
        <w:rPr>
          <w:sz w:val="24"/>
          <w:szCs w:val="24"/>
        </w:rPr>
        <w:t>99,8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2B23A0" w:rsidRPr="002B23A0">
        <w:rPr>
          <w:sz w:val="24"/>
          <w:szCs w:val="24"/>
        </w:rPr>
        <w:t>41,4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18659D" w:rsidRPr="002B23A0" w:rsidRDefault="0018659D" w:rsidP="00E81171">
      <w:pPr>
        <w:tabs>
          <w:tab w:val="left" w:pos="1512"/>
        </w:tabs>
        <w:jc w:val="center"/>
        <w:rPr>
          <w:b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2B23A0" w:rsidRPr="002B23A0">
        <w:rPr>
          <w:sz w:val="24"/>
          <w:szCs w:val="24"/>
        </w:rPr>
        <w:t>160,7</w:t>
      </w:r>
      <w:r w:rsidR="004921B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B23A0">
        <w:rPr>
          <w:sz w:val="24"/>
          <w:szCs w:val="24"/>
        </w:rPr>
        <w:t>27,4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2B23A0" w:rsidRPr="002B23A0">
        <w:rPr>
          <w:sz w:val="24"/>
          <w:szCs w:val="24"/>
        </w:rPr>
        <w:t>149,1</w:t>
      </w:r>
      <w:r w:rsidR="002B23A0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2B23A0">
        <w:rPr>
          <w:sz w:val="24"/>
          <w:szCs w:val="24"/>
        </w:rPr>
        <w:t>29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2B23A0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Pr="003E714A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3E714A">
        <w:rPr>
          <w:sz w:val="24"/>
          <w:szCs w:val="24"/>
        </w:rPr>
        <w:t>За январь-июнь 2020 года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построены 3043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новые квартиры.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176</w:t>
      </w:r>
      <w:r w:rsidR="003E714A">
        <w:rPr>
          <w:sz w:val="24"/>
          <w:szCs w:val="24"/>
        </w:rPr>
        <w:t>,</w:t>
      </w:r>
      <w:r w:rsidRPr="003E714A">
        <w:rPr>
          <w:sz w:val="24"/>
          <w:szCs w:val="24"/>
        </w:rPr>
        <w:t>9</w:t>
      </w:r>
      <w:bookmarkStart w:id="0" w:name="_ftnref1"/>
      <w:bookmarkEnd w:id="0"/>
      <w:r w:rsidR="003E714A">
        <w:rPr>
          <w:sz w:val="24"/>
          <w:szCs w:val="24"/>
        </w:rPr>
        <w:t xml:space="preserve"> тыс. </w:t>
      </w:r>
      <w:r w:rsidRPr="003E714A">
        <w:rPr>
          <w:sz w:val="24"/>
          <w:szCs w:val="24"/>
        </w:rPr>
        <w:t>кв</w:t>
      </w:r>
      <w:proofErr w:type="gramStart"/>
      <w:r w:rsidRPr="003E714A">
        <w:rPr>
          <w:sz w:val="24"/>
          <w:szCs w:val="24"/>
        </w:rPr>
        <w:t>.м</w:t>
      </w:r>
      <w:proofErr w:type="gramEnd"/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что на 16,7% меньше соответствующего периода прошлого года и составляет 64,8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4C3237" w:rsidRDefault="00E81171" w:rsidP="00E81171">
      <w:pPr>
        <w:tabs>
          <w:tab w:val="left" w:pos="1512"/>
          <w:tab w:val="left" w:pos="7938"/>
        </w:tabs>
        <w:jc w:val="center"/>
        <w:rPr>
          <w:sz w:val="10"/>
          <w:szCs w:val="10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723568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D104F0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B763EE" w:rsidRPr="00B763EE">
        <w:rPr>
          <w:sz w:val="24"/>
          <w:szCs w:val="24"/>
        </w:rPr>
        <w:t>864 заявки</w:t>
      </w:r>
      <w:r w:rsidR="00B763EE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B763EE" w:rsidRPr="00B763EE">
        <w:rPr>
          <w:sz w:val="24"/>
          <w:szCs w:val="24"/>
        </w:rPr>
        <w:t xml:space="preserve">1893,7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B763EE">
        <w:rPr>
          <w:sz w:val="24"/>
          <w:szCs w:val="24"/>
        </w:rPr>
        <w:t>июнь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B763EE" w:rsidRPr="00B763EE">
        <w:rPr>
          <w:sz w:val="24"/>
          <w:szCs w:val="24"/>
        </w:rPr>
        <w:t>856</w:t>
      </w:r>
      <w:r w:rsidR="007F2FDC" w:rsidRPr="007F2FDC">
        <w:rPr>
          <w:sz w:val="24"/>
          <w:szCs w:val="24"/>
        </w:rPr>
        <w:t xml:space="preserve"> заявок</w:t>
      </w:r>
      <w:r w:rsidR="007F2FDC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B763EE" w:rsidRPr="00B763EE">
        <w:rPr>
          <w:sz w:val="24"/>
          <w:szCs w:val="24"/>
        </w:rPr>
        <w:t xml:space="preserve">2969,8 </w:t>
      </w:r>
      <w:r w:rsidRPr="001843FE">
        <w:rPr>
          <w:sz w:val="24"/>
          <w:szCs w:val="24"/>
        </w:rPr>
        <w:t>млн. рублей соответственно).</w:t>
      </w:r>
    </w:p>
    <w:p w:rsidR="0042482C" w:rsidRPr="0042482C" w:rsidRDefault="007F2FDC" w:rsidP="0042482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F2FDC">
        <w:rPr>
          <w:sz w:val="24"/>
          <w:szCs w:val="24"/>
        </w:rPr>
        <w:t xml:space="preserve">С начала года на сайте размещено </w:t>
      </w:r>
      <w:r w:rsidR="00B763EE" w:rsidRPr="00B763EE">
        <w:rPr>
          <w:sz w:val="24"/>
          <w:szCs w:val="24"/>
        </w:rPr>
        <w:t xml:space="preserve">724 заявки </w:t>
      </w:r>
      <w:r w:rsidRPr="007F2FDC">
        <w:rPr>
          <w:sz w:val="24"/>
          <w:szCs w:val="24"/>
        </w:rPr>
        <w:t xml:space="preserve">на сумму </w:t>
      </w:r>
      <w:r w:rsidR="00B763EE" w:rsidRPr="00B763EE">
        <w:rPr>
          <w:sz w:val="24"/>
          <w:szCs w:val="24"/>
        </w:rPr>
        <w:t>1728,9</w:t>
      </w:r>
      <w:r w:rsidRPr="007F2FDC">
        <w:rPr>
          <w:sz w:val="24"/>
          <w:szCs w:val="24"/>
        </w:rPr>
        <w:t xml:space="preserve"> млн. рублей. По итогам завершенных процедур подлеж</w:t>
      </w:r>
      <w:r w:rsidR="0007344E">
        <w:rPr>
          <w:sz w:val="24"/>
          <w:szCs w:val="24"/>
        </w:rPr>
        <w:t>а</w:t>
      </w:r>
      <w:r w:rsidRPr="007F2FDC">
        <w:rPr>
          <w:sz w:val="24"/>
          <w:szCs w:val="24"/>
        </w:rPr>
        <w:t xml:space="preserve">т заключению </w:t>
      </w:r>
      <w:r w:rsidR="00B763EE" w:rsidRPr="00B763EE">
        <w:rPr>
          <w:sz w:val="24"/>
          <w:szCs w:val="24"/>
        </w:rPr>
        <w:t xml:space="preserve">626 контрактов </w:t>
      </w:r>
      <w:r w:rsidRPr="007F2FDC">
        <w:rPr>
          <w:sz w:val="24"/>
          <w:szCs w:val="24"/>
        </w:rPr>
        <w:t xml:space="preserve">на сумму </w:t>
      </w:r>
      <w:r w:rsidR="00B763EE" w:rsidRPr="00B763EE">
        <w:rPr>
          <w:sz w:val="24"/>
          <w:szCs w:val="24"/>
        </w:rPr>
        <w:t xml:space="preserve">1423,7 </w:t>
      </w:r>
      <w:r w:rsidRPr="007F2FDC">
        <w:rPr>
          <w:sz w:val="24"/>
          <w:szCs w:val="24"/>
        </w:rPr>
        <w:t xml:space="preserve">млн. рублей, из них заключено </w:t>
      </w:r>
      <w:r w:rsidR="00B763EE" w:rsidRPr="00B763EE">
        <w:rPr>
          <w:sz w:val="24"/>
          <w:szCs w:val="24"/>
        </w:rPr>
        <w:t xml:space="preserve">518 контрактов </w:t>
      </w:r>
      <w:r w:rsidRPr="007F2FDC">
        <w:rPr>
          <w:sz w:val="24"/>
          <w:szCs w:val="24"/>
        </w:rPr>
        <w:t xml:space="preserve">на сумму </w:t>
      </w:r>
      <w:r w:rsidR="00B763EE" w:rsidRPr="00B763EE">
        <w:rPr>
          <w:sz w:val="24"/>
          <w:szCs w:val="24"/>
        </w:rPr>
        <w:t xml:space="preserve">1375,9 </w:t>
      </w:r>
      <w:r w:rsidRPr="007F2FDC">
        <w:rPr>
          <w:sz w:val="24"/>
          <w:szCs w:val="24"/>
        </w:rPr>
        <w:t xml:space="preserve">млн. рублей. Экономия составила </w:t>
      </w:r>
      <w:r w:rsidR="00B763EE" w:rsidRPr="00B763EE">
        <w:rPr>
          <w:sz w:val="24"/>
          <w:szCs w:val="24"/>
        </w:rPr>
        <w:t xml:space="preserve">129,2 </w:t>
      </w:r>
      <w:r w:rsidRPr="007F2FDC">
        <w:rPr>
          <w:sz w:val="24"/>
          <w:szCs w:val="24"/>
        </w:rPr>
        <w:t>млн. рублей.</w:t>
      </w:r>
      <w:r w:rsidR="0042482C" w:rsidRPr="0042482C">
        <w:rPr>
          <w:sz w:val="24"/>
          <w:szCs w:val="24"/>
        </w:rPr>
        <w:t xml:space="preserve"> </w:t>
      </w:r>
    </w:p>
    <w:p w:rsidR="001908F8" w:rsidRPr="001A4ACB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047324">
      <w:pPr>
        <w:ind w:firstLine="708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7720BE" w:rsidRPr="00E652A8">
        <w:rPr>
          <w:sz w:val="24"/>
          <w:szCs w:val="24"/>
        </w:rPr>
        <w:t>2593</w:t>
      </w:r>
      <w:r w:rsidRPr="00F33A7B">
        <w:rPr>
          <w:sz w:val="24"/>
          <w:szCs w:val="24"/>
        </w:rPr>
        <w:t xml:space="preserve"> человек</w:t>
      </w:r>
      <w:r w:rsidR="00E652A8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январь-</w:t>
      </w:r>
      <w:r w:rsidR="00E652A8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E652A8" w:rsidRPr="00E652A8">
        <w:rPr>
          <w:sz w:val="24"/>
          <w:szCs w:val="24"/>
        </w:rPr>
        <w:t>286</w:t>
      </w:r>
      <w:r w:rsidR="00584F99">
        <w:rPr>
          <w:sz w:val="24"/>
          <w:szCs w:val="24"/>
        </w:rPr>
        <w:t>3</w:t>
      </w:r>
      <w:r w:rsidRPr="00F33A7B">
        <w:rPr>
          <w:sz w:val="24"/>
          <w:szCs w:val="24"/>
        </w:rPr>
        <w:t xml:space="preserve"> человек</w:t>
      </w:r>
      <w:r w:rsidR="00584F99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045440">
        <w:rPr>
          <w:sz w:val="24"/>
          <w:szCs w:val="24"/>
        </w:rPr>
        <w:br/>
      </w:r>
      <w:r w:rsidR="00E652A8" w:rsidRPr="00E652A8">
        <w:rPr>
          <w:sz w:val="24"/>
          <w:szCs w:val="24"/>
        </w:rPr>
        <w:t>3279</w:t>
      </w:r>
      <w:r w:rsidRPr="00F33A7B">
        <w:rPr>
          <w:sz w:val="24"/>
          <w:szCs w:val="24"/>
        </w:rPr>
        <w:t xml:space="preserve"> человек (</w:t>
      </w:r>
      <w:r w:rsidR="00E652A8" w:rsidRPr="00E652A8">
        <w:rPr>
          <w:sz w:val="24"/>
          <w:szCs w:val="24"/>
        </w:rPr>
        <w:t>33</w:t>
      </w:r>
      <w:r w:rsidR="00584F99">
        <w:rPr>
          <w:sz w:val="24"/>
          <w:szCs w:val="24"/>
        </w:rPr>
        <w:t>68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 </w:t>
      </w:r>
      <w:r w:rsidR="00E652A8" w:rsidRPr="00E652A8">
        <w:rPr>
          <w:sz w:val="24"/>
          <w:szCs w:val="24"/>
        </w:rPr>
        <w:t>686</w:t>
      </w:r>
      <w:r w:rsidRPr="00F33A7B">
        <w:rPr>
          <w:sz w:val="24"/>
          <w:szCs w:val="24"/>
        </w:rPr>
        <w:t xml:space="preserve"> человек </w:t>
      </w:r>
      <w:r w:rsidR="007F2FDC">
        <w:rPr>
          <w:sz w:val="24"/>
          <w:szCs w:val="24"/>
        </w:rPr>
        <w:br/>
      </w:r>
      <w:r w:rsidRPr="00F33A7B">
        <w:rPr>
          <w:sz w:val="24"/>
          <w:szCs w:val="24"/>
        </w:rPr>
        <w:t>(за январь-</w:t>
      </w:r>
      <w:r w:rsidR="00E652A8">
        <w:rPr>
          <w:sz w:val="24"/>
          <w:szCs w:val="24"/>
        </w:rPr>
        <w:t>май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E652A8" w:rsidRPr="00E652A8">
        <w:rPr>
          <w:sz w:val="24"/>
          <w:szCs w:val="24"/>
        </w:rPr>
        <w:t>5</w:t>
      </w:r>
      <w:r w:rsidR="00584F99">
        <w:rPr>
          <w:sz w:val="24"/>
          <w:szCs w:val="24"/>
        </w:rPr>
        <w:t>05</w:t>
      </w:r>
      <w:r w:rsidRPr="00F33A7B">
        <w:rPr>
          <w:sz w:val="24"/>
          <w:szCs w:val="24"/>
        </w:rPr>
        <w:t xml:space="preserve"> человек).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74187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652A8" w:rsidRPr="00E652A8" w:rsidRDefault="00E652A8" w:rsidP="00E652A8">
      <w:pPr>
        <w:ind w:firstLine="708"/>
        <w:jc w:val="both"/>
        <w:rPr>
          <w:sz w:val="24"/>
          <w:szCs w:val="24"/>
        </w:rPr>
      </w:pPr>
      <w:r w:rsidRPr="00E652A8">
        <w:rPr>
          <w:sz w:val="24"/>
          <w:szCs w:val="24"/>
        </w:rPr>
        <w:t xml:space="preserve">За январь-май 2020 года в город прибыло 5960 человек (за январь-май 2019 года – </w:t>
      </w:r>
      <w:r>
        <w:rPr>
          <w:sz w:val="24"/>
          <w:szCs w:val="24"/>
        </w:rPr>
        <w:br/>
      </w:r>
      <w:r w:rsidRPr="00E652A8">
        <w:rPr>
          <w:sz w:val="24"/>
          <w:szCs w:val="24"/>
        </w:rPr>
        <w:t xml:space="preserve">8175 человек), выбыло 5335 человек (7239 человек соответственно). Миграционный прирост составил 625 человек (за январь-май 2019 года </w:t>
      </w:r>
      <w:r w:rsidR="00082B65">
        <w:rPr>
          <w:sz w:val="24"/>
          <w:szCs w:val="24"/>
        </w:rPr>
        <w:t xml:space="preserve">– </w:t>
      </w:r>
      <w:r w:rsidRPr="00E652A8">
        <w:rPr>
          <w:sz w:val="24"/>
          <w:szCs w:val="24"/>
        </w:rPr>
        <w:t>936 человек).</w:t>
      </w:r>
    </w:p>
    <w:p w:rsidR="00E652A8" w:rsidRPr="00451977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C66892" w:rsidRPr="00451977" w:rsidRDefault="00C66892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0"/>
          <w:szCs w:val="10"/>
        </w:rPr>
      </w:pP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D06E2B">
        <w:rPr>
          <w:sz w:val="24"/>
          <w:szCs w:val="24"/>
        </w:rPr>
        <w:t>май</w:t>
      </w:r>
      <w:r w:rsidRPr="0091269D">
        <w:rPr>
          <w:sz w:val="24"/>
          <w:szCs w:val="24"/>
        </w:rPr>
        <w:t xml:space="preserve"> 2020 года увеличилась на </w:t>
      </w:r>
      <w:r w:rsidR="0091269D" w:rsidRPr="0091269D">
        <w:rPr>
          <w:sz w:val="24"/>
          <w:szCs w:val="24"/>
        </w:rPr>
        <w:t>8,6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D06E2B" w:rsidRPr="00D06E2B">
        <w:rPr>
          <w:sz w:val="24"/>
          <w:szCs w:val="24"/>
        </w:rPr>
        <w:t>38351</w:t>
      </w:r>
      <w:r w:rsidRPr="0091269D">
        <w:rPr>
          <w:sz w:val="24"/>
          <w:szCs w:val="24"/>
        </w:rPr>
        <w:t xml:space="preserve"> рубл</w:t>
      </w:r>
      <w:r w:rsidR="00D06E2B">
        <w:rPr>
          <w:sz w:val="24"/>
          <w:szCs w:val="24"/>
        </w:rPr>
        <w:t>ь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размер оплаты труда наблюдается </w:t>
      </w:r>
      <w:r w:rsidR="00FB4BD4" w:rsidRPr="007E20A7">
        <w:rPr>
          <w:sz w:val="24"/>
          <w:szCs w:val="24"/>
        </w:rPr>
        <w:t>в финансовой и страховой деятельности (</w:t>
      </w:r>
      <w:r w:rsidR="00FB4BD4" w:rsidRPr="00D06E2B">
        <w:rPr>
          <w:sz w:val="24"/>
          <w:szCs w:val="24"/>
        </w:rPr>
        <w:t>57951</w:t>
      </w:r>
      <w:r w:rsidR="00FB4BD4" w:rsidRPr="007E20A7">
        <w:rPr>
          <w:sz w:val="24"/>
          <w:szCs w:val="24"/>
        </w:rPr>
        <w:t xml:space="preserve"> рубл</w:t>
      </w:r>
      <w:r w:rsidR="00FB4BD4">
        <w:rPr>
          <w:sz w:val="24"/>
          <w:szCs w:val="24"/>
        </w:rPr>
        <w:t>ь</w:t>
      </w:r>
      <w:r w:rsidR="00FB4BD4" w:rsidRPr="007E20A7">
        <w:rPr>
          <w:sz w:val="24"/>
          <w:szCs w:val="24"/>
        </w:rPr>
        <w:t>),</w:t>
      </w:r>
      <w:r w:rsidR="00FB4BD4" w:rsidRPr="00FB4BD4">
        <w:rPr>
          <w:sz w:val="24"/>
          <w:szCs w:val="24"/>
        </w:rPr>
        <w:t xml:space="preserve"> профессиональной, научной и технической деятельности (46633 рубля), </w:t>
      </w:r>
      <w:r w:rsidR="00FB4BD4">
        <w:rPr>
          <w:sz w:val="24"/>
          <w:szCs w:val="24"/>
        </w:rPr>
        <w:t xml:space="preserve">в </w:t>
      </w:r>
      <w:r w:rsidR="00FB4BD4" w:rsidRPr="00FB4BD4">
        <w:rPr>
          <w:sz w:val="24"/>
          <w:szCs w:val="24"/>
        </w:rPr>
        <w:t>обеспечени</w:t>
      </w:r>
      <w:r w:rsidR="00FB4BD4">
        <w:rPr>
          <w:sz w:val="24"/>
          <w:szCs w:val="24"/>
        </w:rPr>
        <w:t xml:space="preserve">и </w:t>
      </w:r>
      <w:r w:rsidR="00FB4BD4" w:rsidRPr="00FB4BD4">
        <w:rPr>
          <w:sz w:val="24"/>
          <w:szCs w:val="24"/>
        </w:rPr>
        <w:t>электрической энергией, газом и паром; кондиционировани</w:t>
      </w:r>
      <w:r w:rsidR="0008709D">
        <w:rPr>
          <w:sz w:val="24"/>
          <w:szCs w:val="24"/>
        </w:rPr>
        <w:t>и</w:t>
      </w:r>
      <w:r w:rsidR="00FB4BD4" w:rsidRPr="00FB4BD4">
        <w:rPr>
          <w:sz w:val="24"/>
          <w:szCs w:val="24"/>
        </w:rPr>
        <w:t xml:space="preserve"> воздуха (46003 рубля)</w:t>
      </w:r>
      <w:r w:rsidRPr="007E20A7">
        <w:rPr>
          <w:sz w:val="24"/>
          <w:szCs w:val="24"/>
        </w:rPr>
        <w:t>. Наибольший темп роста заработной платы сложился</w:t>
      </w:r>
      <w:r w:rsidRPr="00D06E2B">
        <w:rPr>
          <w:sz w:val="24"/>
          <w:szCs w:val="24"/>
        </w:rPr>
        <w:t xml:space="preserve"> </w:t>
      </w:r>
      <w:r w:rsidR="00F33A7B" w:rsidRPr="007E20A7">
        <w:rPr>
          <w:sz w:val="24"/>
          <w:szCs w:val="24"/>
        </w:rPr>
        <w:t xml:space="preserve">в </w:t>
      </w:r>
      <w:r w:rsidR="00045440">
        <w:rPr>
          <w:sz w:val="24"/>
          <w:szCs w:val="24"/>
        </w:rPr>
        <w:t>сельскохозяйственном производстве</w:t>
      </w:r>
      <w:r w:rsidR="00E85346" w:rsidRPr="007E20A7">
        <w:rPr>
          <w:sz w:val="24"/>
          <w:szCs w:val="24"/>
        </w:rPr>
        <w:t xml:space="preserve"> – </w:t>
      </w:r>
      <w:r w:rsidR="00D06E2B" w:rsidRPr="00D06E2B">
        <w:rPr>
          <w:sz w:val="24"/>
          <w:szCs w:val="24"/>
        </w:rPr>
        <w:t>1</w:t>
      </w:r>
      <w:r w:rsidR="00045440">
        <w:rPr>
          <w:sz w:val="24"/>
          <w:szCs w:val="24"/>
        </w:rPr>
        <w:t>1</w:t>
      </w:r>
      <w:r w:rsidR="00D06E2B" w:rsidRPr="00D06E2B">
        <w:rPr>
          <w:sz w:val="24"/>
          <w:szCs w:val="24"/>
        </w:rPr>
        <w:t>7</w:t>
      </w:r>
      <w:r w:rsidR="00045440">
        <w:rPr>
          <w:sz w:val="24"/>
          <w:szCs w:val="24"/>
        </w:rPr>
        <w:t>,6</w:t>
      </w:r>
      <w:r w:rsidR="00E85346" w:rsidRPr="007E20A7">
        <w:rPr>
          <w:sz w:val="24"/>
          <w:szCs w:val="24"/>
        </w:rPr>
        <w:t xml:space="preserve">%, </w:t>
      </w:r>
      <w:r w:rsidR="00045440" w:rsidRPr="00045440">
        <w:rPr>
          <w:sz w:val="24"/>
          <w:szCs w:val="24"/>
        </w:rPr>
        <w:t>деятельност</w:t>
      </w:r>
      <w:r w:rsidR="00045440">
        <w:rPr>
          <w:sz w:val="24"/>
          <w:szCs w:val="24"/>
        </w:rPr>
        <w:t>и</w:t>
      </w:r>
      <w:r w:rsidR="00045440" w:rsidRPr="00045440">
        <w:rPr>
          <w:sz w:val="24"/>
          <w:szCs w:val="24"/>
        </w:rPr>
        <w:t xml:space="preserve"> в области информации и связи</w:t>
      </w:r>
      <w:r w:rsidR="00045440">
        <w:rPr>
          <w:sz w:val="24"/>
          <w:szCs w:val="24"/>
        </w:rPr>
        <w:t xml:space="preserve"> </w:t>
      </w:r>
      <w:r w:rsidR="00D06E2B">
        <w:rPr>
          <w:sz w:val="24"/>
          <w:szCs w:val="24"/>
        </w:rPr>
        <w:t xml:space="preserve">– </w:t>
      </w:r>
      <w:r w:rsidR="00045440">
        <w:rPr>
          <w:sz w:val="24"/>
          <w:szCs w:val="24"/>
        </w:rPr>
        <w:t>114,6</w:t>
      </w:r>
      <w:r w:rsidR="00D06E2B" w:rsidRPr="007E20A7">
        <w:rPr>
          <w:sz w:val="24"/>
          <w:szCs w:val="24"/>
        </w:rPr>
        <w:t>%</w:t>
      </w:r>
      <w:r w:rsidR="00D06E2B">
        <w:rPr>
          <w:sz w:val="24"/>
          <w:szCs w:val="24"/>
        </w:rPr>
        <w:t xml:space="preserve">, </w:t>
      </w:r>
      <w:r w:rsidR="00045440">
        <w:rPr>
          <w:sz w:val="24"/>
          <w:szCs w:val="24"/>
        </w:rPr>
        <w:t>образовании</w:t>
      </w:r>
      <w:r w:rsidR="00E85346" w:rsidRPr="007E20A7">
        <w:rPr>
          <w:sz w:val="24"/>
          <w:szCs w:val="24"/>
        </w:rPr>
        <w:t xml:space="preserve"> </w:t>
      </w:r>
      <w:r w:rsidR="00F57663" w:rsidRPr="007E20A7">
        <w:rPr>
          <w:sz w:val="24"/>
          <w:szCs w:val="24"/>
        </w:rPr>
        <w:t xml:space="preserve">– </w:t>
      </w:r>
      <w:r w:rsidR="00045440">
        <w:rPr>
          <w:sz w:val="24"/>
          <w:szCs w:val="24"/>
        </w:rPr>
        <w:t>114</w:t>
      </w:r>
      <w:r w:rsidR="00F57663" w:rsidRPr="007E20A7">
        <w:rPr>
          <w:sz w:val="24"/>
          <w:szCs w:val="24"/>
        </w:rPr>
        <w:t>%</w:t>
      </w:r>
      <w:r w:rsidR="00D06E2B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01.0</w:t>
      </w:r>
      <w:r w:rsidR="00D06E2B">
        <w:rPr>
          <w:sz w:val="24"/>
          <w:szCs w:val="24"/>
        </w:rPr>
        <w:t>7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E82ADA" w:rsidRPr="007B0566">
        <w:rPr>
          <w:sz w:val="24"/>
          <w:szCs w:val="24"/>
        </w:rPr>
        <w:t>8,</w:t>
      </w:r>
      <w:r w:rsidR="00D06E2B">
        <w:rPr>
          <w:sz w:val="24"/>
          <w:szCs w:val="24"/>
        </w:rPr>
        <w:t>6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82" cy="795131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>
        <w:rPr>
          <w:sz w:val="23"/>
          <w:szCs w:val="23"/>
        </w:rPr>
        <w:t>июне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 </w:t>
      </w:r>
      <w:r w:rsidR="001257E2">
        <w:rPr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436,22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470,89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410,90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466,79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357,99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368,55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251,04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299,38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284,96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283,20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173,41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165,65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142,59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146,31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148,38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166,12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191,44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185,54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168,54</w:t>
            </w:r>
          </w:p>
        </w:tc>
      </w:tr>
      <w:tr w:rsidR="003D1147" w:rsidRPr="00AC1771" w:rsidTr="008978CD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91,85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103,04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111,98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104,54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655,73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544,45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634,18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615,91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477,47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56,86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61,23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58,65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55,96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38,07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715,33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585,65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726,94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1030,56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633,96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15,43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33,44</w:t>
            </w:r>
          </w:p>
        </w:tc>
      </w:tr>
      <w:tr w:rsidR="003D1147" w:rsidRPr="00AC1771" w:rsidTr="008978CD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63,06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62,37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45,98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65,58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73,85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60,25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79,49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84,66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75,41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51,18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46,89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84,13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64,04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62,75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79,41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89,26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84,42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58,15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66,31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89,07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60,51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38,53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35,49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25,84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29,27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36,47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44,36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173,81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139,71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161,08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152,15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158,71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9468,00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10743,39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8629,39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9166,56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9172,98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8563,51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7938,63</w:t>
            </w:r>
          </w:p>
        </w:tc>
      </w:tr>
      <w:tr w:rsidR="003D1147" w:rsidRPr="00AC1771" w:rsidTr="008978CD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231,35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271,51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238,58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272,32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224,96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232,67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411,54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368,19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505,35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503,90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440,75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11097,25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13288,54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10445,94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11493,52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12714,65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9166,33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12876,37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2963,02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2066,14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3090,24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2989,28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1262,94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1495,80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889,42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46,85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49,73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42,71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40,47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42,90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3D1147" w:rsidRPr="00AC1771" w:rsidTr="008978C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100,49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121,03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108,19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143,63</w:t>
            </w:r>
          </w:p>
        </w:tc>
      </w:tr>
      <w:tr w:rsidR="003D1147" w:rsidRPr="00AC1771" w:rsidTr="001257E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79,17</w:t>
            </w:r>
          </w:p>
        </w:tc>
      </w:tr>
      <w:tr w:rsidR="003D1147" w:rsidRPr="00AC1771" w:rsidTr="001257E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1897,98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1392,91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778,75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1704,98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1384,74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1559,65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1812,07</w:t>
            </w:r>
          </w:p>
        </w:tc>
      </w:tr>
      <w:tr w:rsidR="003D1147" w:rsidRPr="00AC1771" w:rsidTr="001257E2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3D1147" w:rsidRPr="00AC1771" w:rsidTr="001257E2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307,23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3D1147" w:rsidRPr="00AC1771" w:rsidTr="001257E2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3D1147" w:rsidRPr="00AC1771" w:rsidTr="003D114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D1147" w:rsidRPr="00AC1771" w:rsidTr="003D114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47" w:rsidRPr="00F14217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E1575B" w:rsidRDefault="003D1147" w:rsidP="003D114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575B">
              <w:rPr>
                <w:rFonts w:eastAsia="Times New Roman"/>
                <w:sz w:val="20"/>
                <w:szCs w:val="20"/>
                <w:lang w:eastAsia="ru-RU"/>
              </w:rPr>
              <w:t>245,00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3D1147" w:rsidRPr="00AC1771" w:rsidTr="003D1147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EC5060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3D1147">
      <w:pPr>
        <w:ind w:right="-307"/>
        <w:rPr>
          <w:b/>
          <w:i/>
          <w:sz w:val="4"/>
          <w:szCs w:val="4"/>
        </w:rPr>
      </w:pPr>
    </w:p>
    <w:p w:rsidR="003D1147" w:rsidRDefault="003D1147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sectPr w:rsidR="003D1147" w:rsidSect="00FC3259">
      <w:headerReference w:type="default" r:id="rId15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40" w:rsidRDefault="00045440" w:rsidP="0091736E">
      <w:r>
        <w:separator/>
      </w:r>
    </w:p>
  </w:endnote>
  <w:endnote w:type="continuationSeparator" w:id="0">
    <w:p w:rsidR="00045440" w:rsidRDefault="0004544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40" w:rsidRDefault="00045440" w:rsidP="0091736E">
      <w:r>
        <w:separator/>
      </w:r>
    </w:p>
  </w:footnote>
  <w:footnote w:type="continuationSeparator" w:id="0">
    <w:p w:rsidR="00045440" w:rsidRDefault="0004544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40" w:rsidRPr="00C00C70" w:rsidRDefault="00EC506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045440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082B65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100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147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1977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0701"/>
    <w:rsid w:val="008415EA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968"/>
    <w:rsid w:val="008978CD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98F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4846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2969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62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099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332E-4"/>
                  <c:y val="7.039361695904734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066474120453807E-2"/>
                  <c:y val="-8.29724409448827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485992965738842E-2"/>
                  <c:y val="0.1198493666552549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8506194790171E-2"/>
                  <c:y val="-0.1212121212121226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3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035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7.6975297552841875E-3"/>
                  <c:y val="0.1031599328470398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676E-3"/>
                  <c:y val="7.83270840523419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506449991623412E-5"/>
                  <c:y val="6.173962031784314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0112874567625653E-4"/>
                  <c:y val="9.50436669727937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77811623599106E-3"/>
                  <c:y val="0.1139728463378823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834178358227662E-2"/>
                  <c:y val="-0.145303663129065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0992E-2"/>
                  <c:y val="-0.1098024374860133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</c:numCache>
            </c:numRef>
          </c:val>
        </c:ser>
        <c:axId val="127935232"/>
        <c:axId val="114704384"/>
      </c:barChart>
      <c:catAx>
        <c:axId val="127935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14704384"/>
        <c:crossesAt val="97"/>
        <c:auto val="1"/>
        <c:lblAlgn val="ctr"/>
        <c:lblOffset val="0"/>
      </c:catAx>
      <c:valAx>
        <c:axId val="114704384"/>
        <c:scaling>
          <c:orientation val="minMax"/>
          <c:max val="103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7935232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948"/>
          <c:y val="0.15047769028871388"/>
          <c:w val="9.9524264174540508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янв.-июнь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02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444786792954E-3"/>
                  <c:y val="7.937645268172607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431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4977210520832E-3"/>
                  <c:y val="2.9663881310937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109.6</c:v>
                </c:pt>
                <c:pt idx="1">
                  <c:v>93.5</c:v>
                </c:pt>
                <c:pt idx="2">
                  <c:v>101</c:v>
                </c:pt>
                <c:pt idx="3">
                  <c:v>110</c:v>
                </c:pt>
                <c:pt idx="4">
                  <c:v>83.5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янв.-июнь 2020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7.5967385788259754E-3"/>
                  <c:y val="2.844081215145952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3728456026756E-3"/>
                  <c:y val="1.54974495811485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6762003462025E-4"/>
                  <c:y val="2.26950700929825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533975100782E-3"/>
                  <c:y val="4.18096812159843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104.6</c:v>
                </c:pt>
                <c:pt idx="1">
                  <c:v>105</c:v>
                </c:pt>
                <c:pt idx="2">
                  <c:v>102.8</c:v>
                </c:pt>
                <c:pt idx="3">
                  <c:v>79.8</c:v>
                </c:pt>
                <c:pt idx="4">
                  <c:v>93.8</c:v>
                </c:pt>
              </c:numCache>
            </c:numRef>
          </c:val>
        </c:ser>
        <c:axId val="114762880"/>
        <c:axId val="114764416"/>
      </c:barChart>
      <c:catAx>
        <c:axId val="11476288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64416"/>
        <c:crossesAt val="77"/>
        <c:auto val="1"/>
        <c:lblAlgn val="ctr"/>
        <c:lblOffset val="1"/>
        <c:tickLblSkip val="1"/>
        <c:tickMarkSkip val="3"/>
      </c:catAx>
      <c:valAx>
        <c:axId val="114764416"/>
        <c:scaling>
          <c:orientation val="minMax"/>
          <c:max val="112"/>
          <c:min val="77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62880"/>
        <c:crosses val="autoZero"/>
        <c:crossBetween val="between"/>
        <c:majorUnit val="7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5118688924295871"/>
          <c:y val="0.25630608106994418"/>
          <c:w val="0.14718568557176342"/>
          <c:h val="0.3777329648169421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2318083463129754"/>
          <c:w val="0.58212673308463458"/>
          <c:h val="0.661303867948379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6.1352973155417417E-3"/>
                  <c:y val="6.26473310308576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452360554685171E-3"/>
                  <c:y val="9.30848921916756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01.07.2019</c:v>
                </c:pt>
                <c:pt idx="1">
                  <c:v>на 01.07.2020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3309.5</c:v>
                </c:pt>
                <c:pt idx="1">
                  <c:v>2975.2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0"/>
                  <c:y val="1.536283876950862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450750512918323E-3"/>
                  <c:y val="5.46899976815414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01.07.2019</c:v>
                </c:pt>
                <c:pt idx="1">
                  <c:v>на 01.07.2020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3389.8</c:v>
                </c:pt>
                <c:pt idx="1">
                  <c:v>3320.7</c:v>
                </c:pt>
              </c:numCache>
            </c:numRef>
          </c:val>
        </c:ser>
        <c:axId val="128004480"/>
        <c:axId val="128006016"/>
      </c:barChart>
      <c:catAx>
        <c:axId val="128004480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8006016"/>
        <c:crossesAt val="1000"/>
        <c:lblAlgn val="ctr"/>
        <c:lblOffset val="0"/>
        <c:tickLblSkip val="1"/>
      </c:catAx>
      <c:valAx>
        <c:axId val="128006016"/>
        <c:scaling>
          <c:orientation val="minMax"/>
          <c:max val="39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8004480"/>
        <c:crosses val="autoZero"/>
        <c:crossBetween val="between"/>
        <c:majorUnit val="800"/>
        <c:minorUnit val="8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135611315989433"/>
          <c:y val="0.17525521074571571"/>
          <c:w val="0.51251609571636236"/>
          <c:h val="0.511880132808472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208875405719E-3"/>
                  <c:y val="8.659508470532102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95254941904032E-3"/>
                  <c:y val="1.393325619709983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627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48E-2"/>
                  <c:y val="-2.69867175693966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июнь 2019 г.</c:v>
                </c:pt>
                <c:pt idx="1">
                  <c:v>янв.- июнь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168.7</c:v>
                </c:pt>
                <c:pt idx="1">
                  <c:v>140.9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048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1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21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июнь 2019 г.</c:v>
                </c:pt>
                <c:pt idx="1">
                  <c:v>янв.- июнь 2020 г.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46</c:v>
                </c:pt>
                <c:pt idx="1">
                  <c:v>36</c:v>
                </c:pt>
              </c:numCache>
            </c:numRef>
          </c:val>
        </c:ser>
        <c:axId val="130251776"/>
        <c:axId val="130257664"/>
      </c:barChart>
      <c:catAx>
        <c:axId val="130251776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0257664"/>
        <c:crossesAt val="0"/>
        <c:lblAlgn val="ctr"/>
        <c:lblOffset val="0"/>
        <c:tickLblSkip val="1"/>
      </c:catAx>
      <c:valAx>
        <c:axId val="130257664"/>
        <c:scaling>
          <c:orientation val="minMax"/>
          <c:max val="20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0251776"/>
        <c:crosses val="autoZero"/>
        <c:crossBetween val="between"/>
        <c:majorUnit val="50"/>
        <c:minorUnit val="30"/>
      </c:valAx>
    </c:plotArea>
    <c:legend>
      <c:legendPos val="r"/>
      <c:layout>
        <c:manualLayout>
          <c:xMode val="edge"/>
          <c:yMode val="edge"/>
          <c:x val="0.82732012421392753"/>
          <c:y val="0.1941160564939067"/>
          <c:w val="0.16113368998218372"/>
          <c:h val="0.45204557745274382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103"/>
          <c:h val="0.677211420001078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094E-3"/>
                  <c:y val="9.370614387487499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4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705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76E-2"/>
                  <c:y val="-2.698671756939676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январь-май 2020 г.</c:v>
                </c:pt>
                <c:pt idx="1">
                  <c:v>январь-май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11.3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32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2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093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21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52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январь-май 2020 г.</c:v>
                </c:pt>
                <c:pt idx="1">
                  <c:v>январь-май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</c:v>
                </c:pt>
                <c:pt idx="1">
                  <c:v>9.9</c:v>
                </c:pt>
              </c:numCache>
            </c:numRef>
          </c:val>
        </c:ser>
        <c:gapWidth val="41"/>
        <c:overlap val="-2"/>
        <c:axId val="130643456"/>
        <c:axId val="130644992"/>
      </c:barChart>
      <c:catAx>
        <c:axId val="130643456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0644992"/>
        <c:crossesAt val="6"/>
        <c:lblAlgn val="ctr"/>
        <c:lblOffset val="0"/>
        <c:tickLblSkip val="1"/>
      </c:catAx>
      <c:valAx>
        <c:axId val="130644992"/>
        <c:scaling>
          <c:orientation val="minMax"/>
          <c:max val="12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064345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545"/>
          <c:h val="0.44027668422804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722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29371435948553E-3"/>
                  <c:y val="4.03982223725304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427177963695389E-3"/>
                  <c:y val="5.07438396943396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177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7026884429954E-3"/>
                  <c:y val="9.27432083518313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353165868676074E-2"/>
                  <c:y val="-0.161464513905458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645353714949857E-2"/>
                  <c:y val="-9.98075240594941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70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815E-4"/>
                  <c:y val="4.37669369906390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292647322209531E-4"/>
                  <c:y val="3.732912001099127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895326097925687E-4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229060567775435E-4"/>
                  <c:y val="3.897848279088602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5184046504763509E-3"/>
                  <c:y val="7.45914824098168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941084813965992E-2"/>
                  <c:y val="-0.115526922771018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157109684056411E-2"/>
                  <c:y val="0.115241655399135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8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</c:numCache>
            </c:numRef>
          </c:val>
        </c:ser>
        <c:axId val="131838336"/>
        <c:axId val="131839872"/>
      </c:barChart>
      <c:catAx>
        <c:axId val="1318383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39872"/>
        <c:crossesAt val="0"/>
        <c:auto val="1"/>
        <c:lblAlgn val="ctr"/>
        <c:lblOffset val="100"/>
      </c:catAx>
      <c:valAx>
        <c:axId val="131839872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38336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537"/>
          <c:y val="0.27361930504955723"/>
          <c:w val="0.16856265587592253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4406A-72C7-417C-B29C-BBD4C80E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316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13</cp:revision>
  <cp:lastPrinted>2020-08-10T01:38:00Z</cp:lastPrinted>
  <dcterms:created xsi:type="dcterms:W3CDTF">2020-07-20T04:41:00Z</dcterms:created>
  <dcterms:modified xsi:type="dcterms:W3CDTF">2020-08-10T01:38:00Z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