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ConsPlusTitlePage"/>
      </w:pPr>
    </w:p>
    <w:p>
      <w:pPr>
        <w:pStyle w:val="ConsPlusNormal"/>
        <w:jc w:val="both"/>
        <w:outlineLvl w:val="0"/>
        <w:rPr>
          <w:rFonts w:ascii="Times New Roman" w:hAnsi="Times New Roman" w:cs="Times New Roman"/>
          <w:sz w:val="28"/>
          <w:szCs w:val="28"/>
        </w:rPr>
      </w:pPr>
    </w:p>
    <w:p>
      <w:pPr>
        <w:pStyle w:val="ConsPlusTitle"/>
        <w:jc w:val="center"/>
        <w:outlineLvl w:val="0"/>
        <w:rPr>
          <w:rFonts w:ascii="Times New Roman" w:hAnsi="Times New Roman" w:cs="Times New Roman"/>
          <w:sz w:val="28"/>
          <w:szCs w:val="28"/>
        </w:rPr>
      </w:pPr>
      <w:r>
        <w:rPr>
          <w:rFonts w:ascii="Times New Roman" w:hAnsi="Times New Roman" w:cs="Times New Roman"/>
          <w:sz w:val="28"/>
          <w:szCs w:val="28"/>
        </w:rPr>
        <w:t xml:space="preserve">БАРНАУЛЬСКАЯ ГОРОДСКАЯ ДУМА</w:t>
      </w:r>
    </w:p>
    <w:p>
      <w:pPr>
        <w:pStyle w:val="ConsPlusTitle"/>
        <w:jc w:val="both"/>
        <w:rPr>
          <w:rFonts w:ascii="Times New Roman" w:hAnsi="Times New Roman" w:cs="Times New Roman"/>
          <w:sz w:val="28"/>
          <w:szCs w:val="28"/>
        </w:rPr>
      </w:pPr>
    </w:p>
    <w:p>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РЕШЕНИЕ</w:t>
      </w:r>
    </w:p>
    <w:p>
      <w:pPr>
        <w:pStyle w:val="ConsPlusTitle"/>
        <w:jc w:val="center"/>
        <w:rPr>
          <w:rFonts w:ascii="Times New Roman" w:hAnsi="Times New Roman" w:cs="Times New Roman"/>
          <w:sz w:val="28"/>
          <w:szCs w:val="28"/>
        </w:rPr>
      </w:pPr>
    </w:p>
    <w:p>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от 30 ноября 2021 г. N 798</w:t>
      </w:r>
    </w:p>
    <w:p>
      <w:pPr>
        <w:pStyle w:val="ConsPlusTitle"/>
        <w:jc w:val="both"/>
        <w:rPr>
          <w:rFonts w:ascii="Times New Roman" w:hAnsi="Times New Roman" w:cs="Times New Roman"/>
          <w:sz w:val="28"/>
          <w:szCs w:val="28"/>
        </w:rPr>
      </w:pPr>
    </w:p>
    <w:p>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ОБ УТВЕРЖДЕНИИ ПОЛОЖЕНИЯ О МУНИЦИПАЛЬНОМ КОНТРОЛЕ В СФЕРЕ</w:t>
      </w:r>
    </w:p>
    <w:p>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БЛАГОУСТРОЙСТВА НА ТЕРРИТОРИИ ГОРОДСКОГО ОКРУГА - ГОРОДА</w:t>
      </w:r>
    </w:p>
    <w:p>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БАРНАУЛА АЛТАЙСКОГО КРАЯ</w:t>
      </w:r>
    </w:p>
    <w:p>
      <w:pPr>
        <w:pStyle w:val="ConsPlusNormal"/>
        <w:spacing w:after="1"/>
        <w:rPr>
          <w:rFonts w:ascii="Times New Roman" w:hAnsi="Times New Roman" w:cs="Times New Roman"/>
          <w:sz w:val="28"/>
          <w:szCs w:val="28"/>
        </w:rPr>
      </w:pPr>
    </w:p>
    <w:tbl>
      <w:tblPr>
        <w:tblW w:w="5000" w:type="pct"/>
        <w:tblBorders>
          <w:top w:val="none"/>
          <w:left w:val="none"/>
          <w:bottom w:val="none"/>
          <w:right w:val="none"/>
          <w:insideH w:val="none"/>
          <w:insideV w:val="none"/>
        </w:tblBorders>
        <w:tblCellMar>
          <w:left w:w="10" w:type="dxa"/>
          <w:right w:w="10" w:type="dxa"/>
        </w:tblCellMar>
        <w:tblLook w:val="0000" w:firstRow="0" w:lastRow="0" w:firstColumn="0" w:lastColumn="0" w:noHBand="0" w:noVBand="0"/>
      </w:tblPr>
      <w:tblGrid>
        <w:gridCol w:w="60"/>
        <w:gridCol w:w="113"/>
        <w:gridCol w:w="9069"/>
        <w:gridCol w:w="113"/>
      </w:tblGrid>
      <w:tr>
        <w:tblPrEx>
          <w:tblCellMar>
            <w:top w:w="0" w:type="dxa"/>
            <w:bottom w:w="0" w:type="dxa"/>
          </w:tblCellMar>
        </w:tblPrEx>
        <w:tc>
          <w:tcPr>
            <w:tcW w:w="60" w:type="dxa"/>
            <w:tcBorders>
              <w:top w:val="none"/>
              <w:left w:val="none"/>
              <w:bottom w:val="none"/>
              <w:right w:val="none"/>
            </w:tcBorders>
            <w:shd w:val="clear" w:color="auto" w:fill="ced3f1"/>
            <w:tcMar>
              <w:left w:w="0" w:type="dxa"/>
              <w:top w:w="0" w:type="dxa"/>
              <w:right w:w="0" w:type="dxa"/>
              <w:bottom w:w="0" w:type="dxa"/>
            </w:tcMar>
          </w:tcPr>
          <w:p>
            <w:pPr>
              <w:pStyle w:val="ConsPlusNormal"/>
              <w:rPr>
                <w:rFonts w:ascii="Times New Roman" w:hAnsi="Times New Roman" w:cs="Times New Roman"/>
                <w:sz w:val="28"/>
                <w:szCs w:val="28"/>
              </w:rPr>
            </w:pPr>
          </w:p>
        </w:tc>
        <w:tc>
          <w:tcPr>
            <w:tcW w:w="113" w:type="dxa"/>
            <w:tcBorders>
              <w:top w:val="none"/>
              <w:left w:val="none"/>
              <w:bottom w:val="none"/>
              <w:right w:val="none"/>
            </w:tcBorders>
            <w:shd w:val="clear" w:color="auto" w:fill="f4f3f8"/>
            <w:tcMar>
              <w:left w:w="0" w:type="dxa"/>
              <w:top w:w="0" w:type="dxa"/>
              <w:right w:w="0" w:type="dxa"/>
              <w:bottom w:w="0" w:type="dxa"/>
            </w:tcMar>
          </w:tcPr>
          <w:p>
            <w:pPr>
              <w:pStyle w:val="ConsPlusNormal"/>
              <w:rPr>
                <w:rFonts w:ascii="Times New Roman" w:hAnsi="Times New Roman" w:cs="Times New Roman"/>
                <w:sz w:val="28"/>
                <w:szCs w:val="28"/>
              </w:rPr>
            </w:pPr>
          </w:p>
        </w:tc>
        <w:tc>
          <w:tcPr>
            <w:tcW w:w="0" w:type="auto"/>
            <w:tcBorders>
              <w:top w:val="none"/>
              <w:left w:val="none"/>
              <w:bottom w:val="none"/>
              <w:right w:val="none"/>
            </w:tcBorders>
            <w:shd w:val="clear" w:color="auto" w:fill="f4f3f8"/>
            <w:tcMar>
              <w:left w:w="0" w:type="dxa"/>
              <w:top w:w="113" w:type="dxa"/>
              <w:right w:w="0" w:type="dxa"/>
              <w:bottom w:w="113" w:type="dxa"/>
            </w:tcMar>
          </w:tcPr>
          <w:p>
            <w:pPr>
              <w:pStyle w:val="ConsPlusNormal"/>
              <w:jc w:val="center"/>
              <w:rPr>
                <w:rFonts w:ascii="Times New Roman" w:hAnsi="Times New Roman" w:cs="Times New Roman"/>
                <w:sz w:val="28"/>
                <w:szCs w:val="28"/>
              </w:rPr>
            </w:pPr>
            <w:r>
              <w:rPr>
                <w:rFonts w:ascii="Times New Roman" w:hAnsi="Times New Roman" w:cs="Times New Roman"/>
                <w:color w:val="392c69"/>
                <w:sz w:val="28"/>
                <w:szCs w:val="28"/>
              </w:rPr>
              <w:t xml:space="preserve">Список изменяющих документов</w:t>
            </w:r>
          </w:p>
          <w:p>
            <w:pPr>
              <w:pStyle w:val="ConsPlusNormal"/>
              <w:jc w:val="center"/>
              <w:rPr>
                <w:rFonts w:ascii="Times New Roman" w:hAnsi="Times New Roman" w:cs="Times New Roman"/>
                <w:sz w:val="28"/>
                <w:szCs w:val="28"/>
              </w:rPr>
            </w:pPr>
            <w:r>
              <w:rPr>
                <w:rFonts w:ascii="Times New Roman" w:hAnsi="Times New Roman" w:cs="Times New Roman"/>
                <w:color w:val="392c69"/>
                <w:sz w:val="28"/>
                <w:szCs w:val="28"/>
              </w:rPr>
              <w:t xml:space="preserve">(в ред. Решений Барнаульской городской Думы</w:t>
            </w:r>
          </w:p>
          <w:p>
            <w:pPr>
              <w:pStyle w:val="ConsPlusNormal"/>
              <w:jc w:val="center"/>
              <w:rPr>
                <w:rFonts w:ascii="Times New Roman" w:hAnsi="Times New Roman" w:cs="Times New Roman"/>
                <w:sz w:val="28"/>
                <w:szCs w:val="28"/>
              </w:rPr>
            </w:pPr>
            <w:r>
              <w:rPr>
                <w:rFonts w:ascii="Times New Roman" w:hAnsi="Times New Roman" w:cs="Times New Roman"/>
                <w:color w:val="392c69"/>
                <w:sz w:val="28"/>
                <w:szCs w:val="28"/>
              </w:rPr>
              <w:t xml:space="preserve">от 02.06.2023 </w:t>
            </w:r>
            <w:hyperlink r:id="rId6">
              <w:r>
                <w:rPr>
                  <w:rFonts w:ascii="Times New Roman" w:hAnsi="Times New Roman" w:cs="Times New Roman"/>
                  <w:color w:val="0000ff"/>
                  <w:sz w:val="28"/>
                  <w:szCs w:val="28"/>
                </w:rPr>
                <w:t xml:space="preserve">N 149</w:t>
              </w:r>
            </w:hyperlink>
            <w:r>
              <w:rPr>
                <w:rFonts w:ascii="Times New Roman" w:hAnsi="Times New Roman" w:cs="Times New Roman"/>
                <w:color w:val="392c69"/>
                <w:sz w:val="28"/>
                <w:szCs w:val="28"/>
              </w:rPr>
              <w:t xml:space="preserve">, от 27.10.2023 </w:t>
            </w:r>
            <w:hyperlink r:id="rId7">
              <w:r>
                <w:rPr>
                  <w:rFonts w:ascii="Times New Roman" w:hAnsi="Times New Roman" w:cs="Times New Roman"/>
                  <w:color w:val="0000ff"/>
                  <w:sz w:val="28"/>
                  <w:szCs w:val="28"/>
                </w:rPr>
                <w:t xml:space="preserve">N 231</w:t>
              </w:r>
            </w:hyperlink>
            <w:r>
              <w:rPr>
                <w:rFonts w:ascii="Times New Roman" w:hAnsi="Times New Roman" w:cs="Times New Roman"/>
                <w:color w:val="392c69"/>
                <w:sz w:val="28"/>
                <w:szCs w:val="28"/>
              </w:rPr>
              <w:t xml:space="preserve">, от 16.02.2024 </w:t>
            </w:r>
            <w:hyperlink r:id="rId8">
              <w:r>
                <w:rPr>
                  <w:rFonts w:ascii="Times New Roman" w:hAnsi="Times New Roman" w:cs="Times New Roman"/>
                  <w:color w:val="0000ff"/>
                  <w:sz w:val="28"/>
                  <w:szCs w:val="28"/>
                </w:rPr>
                <w:t xml:space="preserve">N 297</w:t>
              </w:r>
            </w:hyperlink>
            <w:r>
              <w:rPr>
                <w:rFonts w:ascii="Times New Roman" w:hAnsi="Times New Roman" w:cs="Times New Roman"/>
                <w:color w:val="392c69"/>
                <w:sz w:val="28"/>
                <w:szCs w:val="28"/>
              </w:rPr>
              <w:t xml:space="preserve">,</w:t>
            </w:r>
          </w:p>
          <w:p>
            <w:pPr>
              <w:pStyle w:val="ConsPlusNormal"/>
              <w:jc w:val="center"/>
              <w:rPr>
                <w:rFonts w:ascii="Times New Roman" w:hAnsi="Times New Roman" w:cs="Times New Roman"/>
                <w:sz w:val="28"/>
                <w:szCs w:val="28"/>
              </w:rPr>
            </w:pPr>
            <w:r>
              <w:rPr>
                <w:rFonts w:ascii="Times New Roman" w:hAnsi="Times New Roman" w:cs="Times New Roman"/>
                <w:color w:val="392c69"/>
                <w:sz w:val="28"/>
                <w:szCs w:val="28"/>
              </w:rPr>
              <w:t xml:space="preserve">от 07.06.2024 </w:t>
            </w:r>
            <w:hyperlink r:id="rId9">
              <w:r>
                <w:rPr>
                  <w:rFonts w:ascii="Times New Roman" w:hAnsi="Times New Roman" w:cs="Times New Roman"/>
                  <w:color w:val="0000ff"/>
                  <w:sz w:val="28"/>
                  <w:szCs w:val="28"/>
                </w:rPr>
                <w:t xml:space="preserve">N 350</w:t>
              </w:r>
            </w:hyperlink>
            <w:r>
              <w:rPr>
                <w:rFonts w:ascii="Times New Roman" w:hAnsi="Times New Roman" w:cs="Times New Roman"/>
                <w:color w:val="392c69"/>
                <w:sz w:val="28"/>
                <w:szCs w:val="28"/>
              </w:rPr>
              <w:t xml:space="preserve">, от 25.04.2025 </w:t>
            </w:r>
            <w:hyperlink r:id="rId10">
              <w:r>
                <w:rPr>
                  <w:rFonts w:ascii="Times New Roman" w:hAnsi="Times New Roman" w:cs="Times New Roman"/>
                  <w:color w:val="0000ff"/>
                  <w:sz w:val="28"/>
                  <w:szCs w:val="28"/>
                </w:rPr>
                <w:t xml:space="preserve">N 498</w:t>
              </w:r>
            </w:hyperlink>
            <w:r>
              <w:rPr>
                <w:rFonts w:ascii="Times New Roman" w:hAnsi="Times New Roman" w:cs="Times New Roman"/>
                <w:color w:val="392c69"/>
                <w:sz w:val="28"/>
                <w:szCs w:val="28"/>
              </w:rPr>
              <w:t xml:space="preserve">)</w:t>
            </w:r>
          </w:p>
        </w:tc>
        <w:tc>
          <w:tcPr>
            <w:tcW w:w="113" w:type="dxa"/>
            <w:tcBorders>
              <w:top w:val="none"/>
              <w:left w:val="none"/>
              <w:bottom w:val="none"/>
              <w:right w:val="none"/>
            </w:tcBorders>
            <w:shd w:val="clear" w:color="auto" w:fill="f4f3f8"/>
            <w:tcMar>
              <w:left w:w="0" w:type="dxa"/>
              <w:top w:w="0" w:type="dxa"/>
              <w:right w:w="0" w:type="dxa"/>
              <w:bottom w:w="0" w:type="dxa"/>
            </w:tcMar>
          </w:tcPr>
          <w:p>
            <w:pPr>
              <w:pStyle w:val="ConsPlusNormal"/>
              <w:rPr>
                <w:rFonts w:ascii="Times New Roman" w:hAnsi="Times New Roman" w:cs="Times New Roman"/>
                <w:sz w:val="28"/>
                <w:szCs w:val="28"/>
              </w:rPr>
            </w:pPr>
          </w:p>
        </w:tc>
      </w:tr>
    </w:tbl>
    <w:p>
      <w:pPr>
        <w:pStyle w:val="ConsPlusNormal"/>
        <w:jc w:val="both"/>
        <w:rPr>
          <w:rFonts w:ascii="Times New Roman" w:hAnsi="Times New Roman" w:cs="Times New Roman"/>
          <w:sz w:val="28"/>
          <w:szCs w:val="28"/>
        </w:rPr>
      </w:pPr>
    </w:p>
    <w:p>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со </w:t>
      </w:r>
      <w:hyperlink r:id="rId11">
        <w:r>
          <w:rPr>
            <w:rFonts w:ascii="Times New Roman" w:hAnsi="Times New Roman" w:cs="Times New Roman"/>
            <w:color w:val="0000ff"/>
            <w:sz w:val="28"/>
            <w:szCs w:val="28"/>
          </w:rPr>
          <w:t xml:space="preserve">статьями 16</w:t>
        </w:r>
      </w:hyperlink>
      <w:r>
        <w:rPr>
          <w:rFonts w:ascii="Times New Roman" w:hAnsi="Times New Roman" w:cs="Times New Roman"/>
          <w:sz w:val="28"/>
          <w:szCs w:val="28"/>
        </w:rPr>
        <w:t xml:space="preserve">, </w:t>
      </w:r>
      <w:hyperlink r:id="rId12">
        <w:r>
          <w:rPr>
            <w:rFonts w:ascii="Times New Roman" w:hAnsi="Times New Roman" w:cs="Times New Roman"/>
            <w:color w:val="0000ff"/>
            <w:sz w:val="28"/>
            <w:szCs w:val="28"/>
          </w:rPr>
          <w:t xml:space="preserve">45.1</w:t>
        </w:r>
      </w:hyperlink>
      <w:r>
        <w:rPr>
          <w:rFonts w:ascii="Times New Roman" w:hAnsi="Times New Roman" w:cs="Times New Roman"/>
          <w:sz w:val="28"/>
          <w:szCs w:val="28"/>
        </w:rPr>
        <w:t xml:space="preserve"> Федерального закона от 06.10.2003 N 131-ФЗ "Об общих принципах организации местного самоуправления в Российской Федерации", Федеральным </w:t>
      </w:r>
      <w:hyperlink r:id="rId13">
        <w:r>
          <w:rPr>
            <w:rFonts w:ascii="Times New Roman" w:hAnsi="Times New Roman" w:cs="Times New Roman"/>
            <w:color w:val="0000ff"/>
            <w:sz w:val="28"/>
            <w:szCs w:val="28"/>
          </w:rPr>
          <w:t xml:space="preserve">законом</w:t>
        </w:r>
      </w:hyperlink>
      <w:r>
        <w:rPr>
          <w:rFonts w:ascii="Times New Roman" w:hAnsi="Times New Roman" w:cs="Times New Roman"/>
          <w:sz w:val="28"/>
          <w:szCs w:val="28"/>
        </w:rPr>
        <w:t xml:space="preserve"> от 31.07.2020 N 248-ФЗ "О государственном контроле (надзоре) и муниципальном контроле в Российской Федерации", руководствуясь </w:t>
      </w:r>
      <w:hyperlink r:id="rId14">
        <w:r>
          <w:rPr>
            <w:rFonts w:ascii="Times New Roman" w:hAnsi="Times New Roman" w:cs="Times New Roman"/>
            <w:color w:val="0000ff"/>
            <w:sz w:val="28"/>
            <w:szCs w:val="28"/>
          </w:rPr>
          <w:t xml:space="preserve">Уставом</w:t>
        </w:r>
      </w:hyperlink>
      <w:r>
        <w:rPr>
          <w:rFonts w:ascii="Times New Roman" w:hAnsi="Times New Roman" w:cs="Times New Roman"/>
          <w:sz w:val="28"/>
          <w:szCs w:val="28"/>
        </w:rPr>
        <w:t xml:space="preserve"> городского округа - города Барнаула Алтайского края, городская Дума решила:</w:t>
      </w:r>
    </w:p>
    <w:p>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1. Утвердить </w:t>
      </w:r>
      <w:hyperlink w:anchor="P37">
        <w:r>
          <w:rPr>
            <w:rFonts w:ascii="Times New Roman" w:hAnsi="Times New Roman" w:cs="Times New Roman"/>
            <w:color w:val="0000ff"/>
            <w:sz w:val="28"/>
            <w:szCs w:val="28"/>
          </w:rPr>
          <w:t xml:space="preserve">Положение</w:t>
        </w:r>
      </w:hyperlink>
      <w:r>
        <w:rPr>
          <w:rFonts w:ascii="Times New Roman" w:hAnsi="Times New Roman" w:cs="Times New Roman"/>
          <w:sz w:val="28"/>
          <w:szCs w:val="28"/>
        </w:rPr>
        <w:t xml:space="preserve"> о муниципальном контроле в сфере благоустройства на территории городского округа - города Барнаула Алтайского края (приложение).</w:t>
      </w:r>
    </w:p>
    <w:p>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2. </w:t>
      </w:r>
      <w:r>
        <w:rPr>
          <w:rFonts w:ascii="Times New Roman" w:hAnsi="Times New Roman" w:cs="Times New Roman"/>
          <w:sz w:val="28"/>
          <w:szCs w:val="28"/>
        </w:rPr>
        <w:t xml:space="preserve">Подготовка администрациями районов города Барнаула (далее - администрации районов) в ходе осуществления муниципального контроля в сфере благоустройства на территории городского округа - города Барнаула Алтайского края документов, информирование контролируемых лиц о совершаемых должностными лицами администраций районов действиях и принимаемых решениях, обмен документами и сведениями с контролируемыми лицами на бумажном носителе применяются до 31.12.2025.</w:t>
      </w:r>
    </w:p>
    <w:p>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(п. 2 в ред. </w:t>
      </w:r>
      <w:hyperlink r:id="rId15">
        <w:r>
          <w:rPr>
            <w:rFonts w:ascii="Times New Roman" w:hAnsi="Times New Roman" w:cs="Times New Roman"/>
            <w:color w:val="0000ff"/>
            <w:sz w:val="28"/>
            <w:szCs w:val="28"/>
          </w:rPr>
          <w:t xml:space="preserve">Решения</w:t>
        </w:r>
      </w:hyperlink>
      <w:r>
        <w:rPr>
          <w:rFonts w:ascii="Times New Roman" w:hAnsi="Times New Roman" w:cs="Times New Roman"/>
          <w:sz w:val="28"/>
          <w:szCs w:val="28"/>
        </w:rPr>
        <w:t xml:space="preserve"> Барнаульской городской Думы от 25.04.2025 N 498)</w:t>
      </w:r>
    </w:p>
    <w:p>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3. Комитету информационной политики (Андреева Е.С.) обеспечить опубликование решения в газете "Вечерний Барнаул" и официальном сетевом издании "Правовой портал администрации </w:t>
      </w:r>
      <w:r>
        <w:rPr>
          <w:rFonts w:ascii="Times New Roman" w:hAnsi="Times New Roman" w:cs="Times New Roman"/>
          <w:sz w:val="28"/>
          <w:szCs w:val="28"/>
        </w:rPr>
        <w:t xml:space="preserve">г</w:t>
      </w:r>
      <w:r>
        <w:rPr>
          <w:rFonts w:ascii="Times New Roman" w:hAnsi="Times New Roman" w:cs="Times New Roman"/>
          <w:sz w:val="28"/>
          <w:szCs w:val="28"/>
        </w:rPr>
        <w:t xml:space="preserve">. Барнаула".</w:t>
      </w:r>
    </w:p>
    <w:p>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4. </w:t>
      </w:r>
      <w:r>
        <w:rPr>
          <w:rFonts w:ascii="Times New Roman" w:hAnsi="Times New Roman" w:cs="Times New Roman"/>
          <w:sz w:val="28"/>
          <w:szCs w:val="28"/>
        </w:rPr>
        <w:t xml:space="preserve">Контроль за</w:t>
      </w:r>
      <w:r>
        <w:rPr>
          <w:rFonts w:ascii="Times New Roman" w:hAnsi="Times New Roman" w:cs="Times New Roman"/>
          <w:sz w:val="28"/>
          <w:szCs w:val="28"/>
        </w:rPr>
        <w:t xml:space="preserve"> исполнением решения возложить на комитет по городскому хозяйству (Гросс А.А.).</w:t>
      </w:r>
    </w:p>
    <w:p>
      <w:pPr>
        <w:pStyle w:val="ConsPlusNormal"/>
        <w:jc w:val="both"/>
        <w:rPr>
          <w:rFonts w:ascii="Times New Roman" w:hAnsi="Times New Roman" w:cs="Times New Roman"/>
          <w:sz w:val="28"/>
          <w:szCs w:val="28"/>
        </w:rPr>
      </w:pPr>
    </w:p>
    <w:p>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Председатель городской Думы</w:t>
      </w:r>
    </w:p>
    <w:p>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Г.А.БУЕВИЧ</w:t>
      </w:r>
    </w:p>
    <w:p>
      <w:pPr>
        <w:pStyle w:val="ConsPlusNormal"/>
        <w:jc w:val="both"/>
        <w:rPr>
          <w:rFonts w:ascii="Times New Roman" w:hAnsi="Times New Roman" w:cs="Times New Roman"/>
          <w:sz w:val="28"/>
          <w:szCs w:val="28"/>
        </w:rPr>
      </w:pPr>
    </w:p>
    <w:p>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Глава города</w:t>
      </w:r>
    </w:p>
    <w:p>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В.Г.ФРАНК</w:t>
      </w:r>
    </w:p>
    <w:p>
      <w:pPr>
        <w:pStyle w:val="ConsPlusNormal"/>
        <w:jc w:val="both"/>
        <w:rPr>
          <w:rFonts w:ascii="Times New Roman" w:hAnsi="Times New Roman" w:cs="Times New Roman"/>
          <w:sz w:val="28"/>
          <w:szCs w:val="28"/>
        </w:rPr>
      </w:pPr>
    </w:p>
    <w:p>
      <w:pPr>
        <w:pStyle w:val="ConsPlusNormal"/>
        <w:jc w:val="both"/>
        <w:rPr>
          <w:rFonts w:ascii="Times New Roman" w:hAnsi="Times New Roman" w:cs="Times New Roman"/>
          <w:sz w:val="28"/>
          <w:szCs w:val="28"/>
        </w:rPr>
      </w:pPr>
    </w:p>
    <w:p>
      <w:pPr>
        <w:pStyle w:val="ConsPlusNormal"/>
        <w:jc w:val="both"/>
        <w:rPr>
          <w:rFonts w:ascii="Times New Roman" w:hAnsi="Times New Roman" w:cs="Times New Roman"/>
          <w:sz w:val="28"/>
          <w:szCs w:val="28"/>
        </w:rPr>
      </w:pPr>
    </w:p>
    <w:p>
      <w:pPr>
        <w:pStyle w:val="ConsPlusNormal"/>
        <w:jc w:val="both"/>
        <w:rPr>
          <w:rFonts w:ascii="Times New Roman" w:hAnsi="Times New Roman" w:cs="Times New Roman"/>
          <w:sz w:val="28"/>
          <w:szCs w:val="28"/>
        </w:rPr>
      </w:pPr>
    </w:p>
    <w:p>
      <w:pPr>
        <w:pStyle w:val="ConsPlusNormal"/>
        <w:jc w:val="both"/>
        <w:rPr>
          <w:rFonts w:ascii="Times New Roman" w:hAnsi="Times New Roman" w:cs="Times New Roman"/>
          <w:sz w:val="28"/>
          <w:szCs w:val="28"/>
        </w:rPr>
      </w:pPr>
    </w:p>
    <w:p>
      <w:pPr>
        <w:pStyle w:val="ConsPlusNormal"/>
        <w:jc w:val="right"/>
        <w:outlineLvl w:val="0"/>
        <w:rPr>
          <w:rFonts w:ascii="Times New Roman" w:hAnsi="Times New Roman" w:cs="Times New Roman"/>
          <w:sz w:val="28"/>
          <w:szCs w:val="28"/>
        </w:rPr>
      </w:pPr>
      <w:r>
        <w:rPr>
          <w:rFonts w:ascii="Times New Roman" w:hAnsi="Times New Roman" w:cs="Times New Roman"/>
          <w:sz w:val="28"/>
          <w:szCs w:val="28"/>
        </w:rPr>
        <w:t xml:space="preserve">Приложение</w:t>
      </w:r>
    </w:p>
    <w:p>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к Решению</w:t>
      </w:r>
    </w:p>
    <w:p>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городской Думы</w:t>
      </w:r>
    </w:p>
    <w:p>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от 30 ноября 2021 г. N 798</w:t>
      </w:r>
    </w:p>
    <w:p>
      <w:pPr>
        <w:pStyle w:val="ConsPlusNormal"/>
        <w:jc w:val="both"/>
        <w:rPr>
          <w:rFonts w:ascii="Times New Roman" w:hAnsi="Times New Roman" w:cs="Times New Roman"/>
          <w:sz w:val="28"/>
          <w:szCs w:val="28"/>
        </w:rPr>
      </w:pPr>
    </w:p>
    <w:p>
      <w:pPr>
        <w:pStyle w:val="ConsPlusTitle"/>
        <w:jc w:val="center"/>
        <w:rPr>
          <w:rFonts w:ascii="Times New Roman" w:hAnsi="Times New Roman" w:cs="Times New Roman"/>
          <w:sz w:val="28"/>
          <w:szCs w:val="28"/>
        </w:rPr>
      </w:pPr>
      <w:bookmarkStart w:id="0" w:name="P37"/>
      <w:bookmarkEnd w:id="0"/>
      <w:r>
        <w:rPr>
          <w:rFonts w:ascii="Times New Roman" w:hAnsi="Times New Roman" w:cs="Times New Roman"/>
          <w:sz w:val="28"/>
          <w:szCs w:val="28"/>
        </w:rPr>
        <w:t xml:space="preserve">ПОЛОЖЕНИЕ</w:t>
      </w:r>
    </w:p>
    <w:p>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О МУНИЦИПАЛЬНОМ КОНТРОЛЕ В СФЕРЕ БЛАГОУСТРОЙСТВА</w:t>
      </w:r>
    </w:p>
    <w:p>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НА ТЕРРИТОРИИ ГОРОДСКОГО ОКРУГА - ГОРОДА БАРНАУЛА</w:t>
      </w:r>
    </w:p>
    <w:p>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АЛТАЙСКОГО КРАЯ</w:t>
      </w:r>
    </w:p>
    <w:p>
      <w:pPr>
        <w:pStyle w:val="ConsPlusNormal"/>
        <w:spacing w:after="1"/>
        <w:rPr>
          <w:rFonts w:ascii="Times New Roman" w:hAnsi="Times New Roman" w:cs="Times New Roman"/>
          <w:sz w:val="28"/>
          <w:szCs w:val="28"/>
        </w:rPr>
      </w:pPr>
    </w:p>
    <w:tbl>
      <w:tblPr>
        <w:tblW w:w="5000" w:type="pct"/>
        <w:tblBorders>
          <w:top w:val="none"/>
          <w:left w:val="none"/>
          <w:bottom w:val="none"/>
          <w:right w:val="none"/>
          <w:insideH w:val="none"/>
          <w:insideV w:val="none"/>
        </w:tblBorders>
        <w:tblCellMar>
          <w:left w:w="10" w:type="dxa"/>
          <w:right w:w="10" w:type="dxa"/>
        </w:tblCellMar>
        <w:tblLook w:val="0000" w:firstRow="0" w:lastRow="0" w:firstColumn="0" w:lastColumn="0" w:noHBand="0" w:noVBand="0"/>
      </w:tblPr>
      <w:tblGrid>
        <w:gridCol w:w="60"/>
        <w:gridCol w:w="113"/>
        <w:gridCol w:w="9069"/>
        <w:gridCol w:w="113"/>
      </w:tblGrid>
      <w:tr>
        <w:tblPrEx>
          <w:tblCellMar>
            <w:top w:w="0" w:type="dxa"/>
            <w:bottom w:w="0" w:type="dxa"/>
          </w:tblCellMar>
        </w:tblPrEx>
        <w:tc>
          <w:tcPr>
            <w:tcW w:w="60" w:type="dxa"/>
            <w:tcBorders>
              <w:top w:val="none"/>
              <w:left w:val="none"/>
              <w:bottom w:val="none"/>
              <w:right w:val="none"/>
            </w:tcBorders>
            <w:shd w:val="clear" w:color="auto" w:fill="ced3f1"/>
            <w:tcMar>
              <w:left w:w="0" w:type="dxa"/>
              <w:top w:w="0" w:type="dxa"/>
              <w:right w:w="0" w:type="dxa"/>
              <w:bottom w:w="0" w:type="dxa"/>
            </w:tcMar>
          </w:tcPr>
          <w:p>
            <w:pPr>
              <w:pStyle w:val="ConsPlusNormal"/>
              <w:rPr>
                <w:rFonts w:ascii="Times New Roman" w:hAnsi="Times New Roman" w:cs="Times New Roman"/>
                <w:sz w:val="28"/>
                <w:szCs w:val="28"/>
              </w:rPr>
            </w:pPr>
          </w:p>
        </w:tc>
        <w:tc>
          <w:tcPr>
            <w:tcW w:w="113" w:type="dxa"/>
            <w:tcBorders>
              <w:top w:val="none"/>
              <w:left w:val="none"/>
              <w:bottom w:val="none"/>
              <w:right w:val="none"/>
            </w:tcBorders>
            <w:shd w:val="clear" w:color="auto" w:fill="f4f3f8"/>
            <w:tcMar>
              <w:left w:w="0" w:type="dxa"/>
              <w:top w:w="0" w:type="dxa"/>
              <w:right w:w="0" w:type="dxa"/>
              <w:bottom w:w="0" w:type="dxa"/>
            </w:tcMar>
          </w:tcPr>
          <w:p>
            <w:pPr>
              <w:pStyle w:val="ConsPlusNormal"/>
              <w:rPr>
                <w:rFonts w:ascii="Times New Roman" w:hAnsi="Times New Roman" w:cs="Times New Roman"/>
                <w:sz w:val="28"/>
                <w:szCs w:val="28"/>
              </w:rPr>
            </w:pPr>
          </w:p>
        </w:tc>
        <w:tc>
          <w:tcPr>
            <w:tcW w:w="0" w:type="auto"/>
            <w:tcBorders>
              <w:top w:val="none"/>
              <w:left w:val="none"/>
              <w:bottom w:val="none"/>
              <w:right w:val="none"/>
            </w:tcBorders>
            <w:shd w:val="clear" w:color="auto" w:fill="f4f3f8"/>
            <w:tcMar>
              <w:left w:w="0" w:type="dxa"/>
              <w:top w:w="113" w:type="dxa"/>
              <w:right w:w="0" w:type="dxa"/>
              <w:bottom w:w="113" w:type="dxa"/>
            </w:tcMar>
          </w:tcPr>
          <w:p>
            <w:pPr>
              <w:pStyle w:val="ConsPlusNormal"/>
              <w:jc w:val="center"/>
              <w:rPr>
                <w:rFonts w:ascii="Times New Roman" w:hAnsi="Times New Roman" w:cs="Times New Roman"/>
                <w:sz w:val="28"/>
                <w:szCs w:val="28"/>
              </w:rPr>
            </w:pPr>
            <w:r>
              <w:rPr>
                <w:rFonts w:ascii="Times New Roman" w:hAnsi="Times New Roman" w:cs="Times New Roman"/>
                <w:color w:val="392c69"/>
                <w:sz w:val="28"/>
                <w:szCs w:val="28"/>
              </w:rPr>
              <w:t xml:space="preserve">Список изменяющих документов</w:t>
            </w:r>
          </w:p>
          <w:p>
            <w:pPr>
              <w:pStyle w:val="ConsPlusNormal"/>
              <w:jc w:val="center"/>
              <w:rPr>
                <w:rFonts w:ascii="Times New Roman" w:hAnsi="Times New Roman" w:cs="Times New Roman"/>
                <w:sz w:val="28"/>
                <w:szCs w:val="28"/>
              </w:rPr>
            </w:pPr>
            <w:r>
              <w:rPr>
                <w:rFonts w:ascii="Times New Roman" w:hAnsi="Times New Roman" w:cs="Times New Roman"/>
                <w:color w:val="392c69"/>
                <w:sz w:val="28"/>
                <w:szCs w:val="28"/>
              </w:rPr>
              <w:t xml:space="preserve">(в ред. </w:t>
            </w:r>
            <w:hyperlink r:id="rId16">
              <w:r>
                <w:rPr>
                  <w:rFonts w:ascii="Times New Roman" w:hAnsi="Times New Roman" w:cs="Times New Roman"/>
                  <w:color w:val="0000ff"/>
                  <w:sz w:val="28"/>
                  <w:szCs w:val="28"/>
                </w:rPr>
                <w:t xml:space="preserve">Решения</w:t>
              </w:r>
            </w:hyperlink>
            <w:r>
              <w:rPr>
                <w:rFonts w:ascii="Times New Roman" w:hAnsi="Times New Roman" w:cs="Times New Roman"/>
                <w:color w:val="392c69"/>
                <w:sz w:val="28"/>
                <w:szCs w:val="28"/>
              </w:rPr>
              <w:t xml:space="preserve"> Барнаульской городской Думы</w:t>
            </w:r>
          </w:p>
          <w:p>
            <w:pPr>
              <w:pStyle w:val="ConsPlusNormal"/>
              <w:jc w:val="center"/>
              <w:rPr>
                <w:rFonts w:ascii="Times New Roman" w:hAnsi="Times New Roman" w:cs="Times New Roman"/>
                <w:sz w:val="28"/>
                <w:szCs w:val="28"/>
              </w:rPr>
            </w:pPr>
            <w:r>
              <w:rPr>
                <w:rFonts w:ascii="Times New Roman" w:hAnsi="Times New Roman" w:cs="Times New Roman"/>
                <w:color w:val="392c69"/>
                <w:sz w:val="28"/>
                <w:szCs w:val="28"/>
              </w:rPr>
              <w:t xml:space="preserve">от 25.04.2025 N 498)</w:t>
            </w:r>
          </w:p>
        </w:tc>
        <w:tc>
          <w:tcPr>
            <w:tcW w:w="113" w:type="dxa"/>
            <w:tcBorders>
              <w:top w:val="none"/>
              <w:left w:val="none"/>
              <w:bottom w:val="none"/>
              <w:right w:val="none"/>
            </w:tcBorders>
            <w:shd w:val="clear" w:color="auto" w:fill="f4f3f8"/>
            <w:tcMar>
              <w:left w:w="0" w:type="dxa"/>
              <w:top w:w="0" w:type="dxa"/>
              <w:right w:w="0" w:type="dxa"/>
              <w:bottom w:w="0" w:type="dxa"/>
            </w:tcMar>
          </w:tcPr>
          <w:p>
            <w:pPr>
              <w:pStyle w:val="ConsPlusNormal"/>
              <w:rPr>
                <w:rFonts w:ascii="Times New Roman" w:hAnsi="Times New Roman" w:cs="Times New Roman"/>
                <w:sz w:val="28"/>
                <w:szCs w:val="28"/>
              </w:rPr>
            </w:pPr>
          </w:p>
        </w:tc>
      </w:tr>
    </w:tbl>
    <w:p>
      <w:pPr>
        <w:pStyle w:val="ConsPlusNormal"/>
        <w:jc w:val="both"/>
        <w:rPr>
          <w:rFonts w:ascii="Times New Roman" w:hAnsi="Times New Roman" w:cs="Times New Roman"/>
          <w:sz w:val="28"/>
          <w:szCs w:val="28"/>
        </w:rPr>
      </w:pPr>
    </w:p>
    <w:p>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 xml:space="preserve">1. Общие положения</w:t>
      </w:r>
    </w:p>
    <w:p>
      <w:pPr>
        <w:pStyle w:val="ConsPlusNormal"/>
        <w:jc w:val="both"/>
        <w:rPr>
          <w:rFonts w:ascii="Times New Roman" w:hAnsi="Times New Roman" w:cs="Times New Roman"/>
          <w:sz w:val="28"/>
          <w:szCs w:val="28"/>
        </w:rPr>
      </w:pPr>
    </w:p>
    <w:p>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1.1. Положение о муниципальном контроле в сфере благоустройства на территории городского округа - города Барнаула Алтайского края (далее - Положение) устанавливает порядок осуществления муниципального контроля в сфере благоустройства на территории городского округа - города Барнаула Алтайского края (далее - муниципальный контроль в сфере благоустройства).</w:t>
      </w:r>
    </w:p>
    <w:p>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1.2. Предметом муниципального контроля в сфере благоустройства является:</w:t>
      </w:r>
    </w:p>
    <w:p>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1.2.1. </w:t>
      </w:r>
      <w:r>
        <w:rPr>
          <w:rFonts w:ascii="Times New Roman" w:hAnsi="Times New Roman" w:cs="Times New Roman"/>
          <w:sz w:val="28"/>
          <w:szCs w:val="28"/>
        </w:rPr>
        <w:t xml:space="preserve">Соблюдение контролируемыми лицами </w:t>
      </w:r>
      <w:hyperlink r:id="rId17">
        <w:r>
          <w:rPr>
            <w:rFonts w:ascii="Times New Roman" w:hAnsi="Times New Roman" w:cs="Times New Roman"/>
            <w:color w:val="0000ff"/>
            <w:sz w:val="28"/>
            <w:szCs w:val="28"/>
          </w:rPr>
          <w:t xml:space="preserve">Правил</w:t>
        </w:r>
      </w:hyperlink>
      <w:r>
        <w:rPr>
          <w:rFonts w:ascii="Times New Roman" w:hAnsi="Times New Roman" w:cs="Times New Roman"/>
          <w:sz w:val="28"/>
          <w:szCs w:val="28"/>
        </w:rPr>
        <w:t xml:space="preserve"> благоустройства территории городского округа - города Барнаула Алтайского края, утвержденных решением городской Думы от 19.03.2021 N 645, (далее - Правила благоустройства) и иных муниципальных правовых актов города Барнаула в области благоустройства, принятых в соответствии с Правилами благоустройства, в том числе требований к обеспечению доступности для инвалидов объектов социальной, инженерной и транспортной инфраструктур и предоставляемых услуг;</w:t>
      </w:r>
    </w:p>
    <w:p>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1.2.2. Исполнение контролируемыми лицами решений, принимаемых по результатам контрольных мероприятий.</w:t>
      </w:r>
    </w:p>
    <w:p>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1.3. Муниципальный контроль в сфере благоустройства осуществляется администрациями районов города Барнаула (далее - контрольные органы).</w:t>
      </w:r>
    </w:p>
    <w:p>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Должностными лицами, уполномоченными на организацию муниципального контроля в сфере благоустройства являются</w:t>
      </w:r>
      <w:r>
        <w:rPr>
          <w:rFonts w:ascii="Times New Roman" w:hAnsi="Times New Roman" w:cs="Times New Roman"/>
          <w:sz w:val="28"/>
          <w:szCs w:val="28"/>
        </w:rPr>
        <w:t xml:space="preserve">:</w:t>
      </w:r>
    </w:p>
    <w:p>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глава администрации района города Барнаула, первый заместитель главы администрации района города Барнаула, первый заместитель </w:t>
      </w:r>
      <w:r>
        <w:rPr>
          <w:rFonts w:ascii="Times New Roman" w:hAnsi="Times New Roman" w:cs="Times New Roman"/>
          <w:sz w:val="28"/>
          <w:szCs w:val="28"/>
        </w:rPr>
        <w:t xml:space="preserve">главы администрации района города Барнаула</w:t>
      </w:r>
      <w:r>
        <w:rPr>
          <w:rFonts w:ascii="Times New Roman" w:hAnsi="Times New Roman" w:cs="Times New Roman"/>
          <w:sz w:val="28"/>
          <w:szCs w:val="28"/>
        </w:rPr>
        <w:t xml:space="preserve"> по жилищно-коммунальному хозяйству (далее - заместитель главы администрации района города);</w:t>
      </w:r>
    </w:p>
    <w:p>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инспекторы.</w:t>
      </w:r>
    </w:p>
    <w:p>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Инспекторами являются муниципальные служащие, состоящие в штате контрольных органов, в должностные обязанности которых в соответствии с должностной инструкцией входит осуществление полномочий по муниципальному контролю в сфере благоустройства.</w:t>
      </w:r>
    </w:p>
    <w:p>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1.4. Должностные лица при проведении контрольного мероприятия в пределах своих полномочий и в объеме проводимых контрольных действий выполняют обязанности и пользуются правами, установленными </w:t>
      </w:r>
      <w:hyperlink r:id="rId18">
        <w:r>
          <w:rPr>
            <w:rFonts w:ascii="Times New Roman" w:hAnsi="Times New Roman" w:cs="Times New Roman"/>
            <w:color w:val="0000ff"/>
            <w:sz w:val="28"/>
            <w:szCs w:val="28"/>
          </w:rPr>
          <w:t xml:space="preserve">статьей 29</w:t>
        </w:r>
      </w:hyperlink>
      <w:r>
        <w:rPr>
          <w:rFonts w:ascii="Times New Roman" w:hAnsi="Times New Roman" w:cs="Times New Roman"/>
          <w:sz w:val="28"/>
          <w:szCs w:val="28"/>
        </w:rPr>
        <w:t xml:space="preserve"> Федерального закона от 31.07.2020 N 248-ФЗ "О государственном контроле (надзоре) и муниципальном контроле в Российской Федерации" (далее - Федеральный закон N 248-ФЗ).</w:t>
      </w:r>
    </w:p>
    <w:p>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1.5. Решение о проведении контрольного мероприятия принимается контрольным органом.</w:t>
      </w:r>
    </w:p>
    <w:p>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1.6. Объектами муниципального контроля в сфере благоустройства являются:</w:t>
      </w:r>
    </w:p>
    <w:p>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2) результаты деятельности граждан и организаций, в том числе продукция (товары), работы и услуги, к которым предъявляются обязательные требования;</w:t>
      </w:r>
    </w:p>
    <w:p>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w:t>
      </w:r>
      <w:r>
        <w:rPr>
          <w:rFonts w:ascii="Times New Roman" w:hAnsi="Times New Roman" w:cs="Times New Roman"/>
          <w:sz w:val="28"/>
          <w:szCs w:val="28"/>
        </w:rPr>
        <w:t xml:space="preserve">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w:t>
      </w:r>
      <w:r>
        <w:rPr>
          <w:rFonts w:ascii="Times New Roman" w:hAnsi="Times New Roman" w:cs="Times New Roman"/>
          <w:sz w:val="28"/>
          <w:szCs w:val="28"/>
        </w:rPr>
        <w:t xml:space="preserve"> объекты).</w:t>
      </w:r>
    </w:p>
    <w:p>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1.7. </w:t>
      </w:r>
      <w:r>
        <w:rPr>
          <w:rFonts w:ascii="Times New Roman" w:hAnsi="Times New Roman" w:cs="Times New Roman"/>
          <w:sz w:val="28"/>
          <w:szCs w:val="28"/>
        </w:rPr>
        <w:t xml:space="preserve">Контрольными органами в рамках муниципального контроля в сфере благоустройства осуществляется учет объектов муниципального контроля в сфере благоустройства путем внесения сведений об объектах муниципального контроля в сфере благоустройства в информационную систему контрольного органа, создаваемую в соответствии с требованиями </w:t>
      </w:r>
      <w:hyperlink r:id="rId19">
        <w:r>
          <w:rPr>
            <w:rFonts w:ascii="Times New Roman" w:hAnsi="Times New Roman" w:cs="Times New Roman"/>
            <w:color w:val="0000ff"/>
            <w:sz w:val="28"/>
            <w:szCs w:val="28"/>
          </w:rPr>
          <w:t xml:space="preserve">статьи 17</w:t>
        </w:r>
      </w:hyperlink>
      <w:r>
        <w:rPr>
          <w:rFonts w:ascii="Times New Roman" w:hAnsi="Times New Roman" w:cs="Times New Roman"/>
          <w:sz w:val="28"/>
          <w:szCs w:val="28"/>
        </w:rPr>
        <w:t xml:space="preserve"> Федерального закона N 248-ФЗ, не позднее двух рабочих дней со дня поступления таких сведений.</w:t>
      </w:r>
    </w:p>
    <w:p>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При сборе, обработке, анализе и учете сведений об объектах муниципального контроля в сфере благоустройства контрольный орган использует информацию, представляемую ему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1.8. Оценка результативности и эффективности деятельности контрольного органа осуществляется на основе ключевых и индикативных показателей вида контроля. Ключевые </w:t>
      </w:r>
      <w:hyperlink w:anchor="P183">
        <w:r>
          <w:rPr>
            <w:rFonts w:ascii="Times New Roman" w:hAnsi="Times New Roman" w:cs="Times New Roman"/>
            <w:color w:val="0000ff"/>
            <w:sz w:val="28"/>
            <w:szCs w:val="28"/>
          </w:rPr>
          <w:t xml:space="preserve">показатели</w:t>
        </w:r>
      </w:hyperlink>
      <w:r>
        <w:rPr>
          <w:rFonts w:ascii="Times New Roman" w:hAnsi="Times New Roman" w:cs="Times New Roman"/>
          <w:sz w:val="28"/>
          <w:szCs w:val="28"/>
        </w:rPr>
        <w:t xml:space="preserve"> вида контроля и их целевые значения, индикативные показатели приведены в приложении 1 к Положению.</w:t>
      </w:r>
    </w:p>
    <w:p>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Контрольный орган ежегодно осуществляет подготовку доклада о виде контроля с указанием сведений о достижении ключевых показателей и сведений об индикативных показателях видов контроля, в том числе о влиянии профилактических мероприятий и контрольных мероприятий на достижение ключевых показателей в порядке, определенном Федеральным </w:t>
      </w:r>
      <w:hyperlink r:id="rId20">
        <w:r>
          <w:rPr>
            <w:rFonts w:ascii="Times New Roman" w:hAnsi="Times New Roman" w:cs="Times New Roman"/>
            <w:color w:val="0000ff"/>
            <w:sz w:val="28"/>
            <w:szCs w:val="28"/>
          </w:rPr>
          <w:t xml:space="preserve">законом</w:t>
        </w:r>
      </w:hyperlink>
      <w:r>
        <w:rPr>
          <w:rFonts w:ascii="Times New Roman" w:hAnsi="Times New Roman" w:cs="Times New Roman"/>
          <w:sz w:val="28"/>
          <w:szCs w:val="28"/>
        </w:rPr>
        <w:t xml:space="preserve"> N 248-ФЗ, </w:t>
      </w:r>
      <w:hyperlink r:id="rId21">
        <w:r>
          <w:rPr>
            <w:rFonts w:ascii="Times New Roman" w:hAnsi="Times New Roman" w:cs="Times New Roman"/>
            <w:color w:val="0000ff"/>
            <w:sz w:val="28"/>
            <w:szCs w:val="28"/>
          </w:rPr>
          <w:t xml:space="preserve">постановлением</w:t>
        </w:r>
      </w:hyperlink>
      <w:r>
        <w:rPr>
          <w:rFonts w:ascii="Times New Roman" w:hAnsi="Times New Roman" w:cs="Times New Roman"/>
          <w:sz w:val="28"/>
          <w:szCs w:val="28"/>
        </w:rPr>
        <w:t xml:space="preserve"> Правительства Российской Федерации от 07.12.2020 N 2041 "Об утверждении требований к подготовке докладов о видах</w:t>
      </w:r>
      <w:r>
        <w:rPr>
          <w:rFonts w:ascii="Times New Roman" w:hAnsi="Times New Roman" w:cs="Times New Roman"/>
          <w:sz w:val="28"/>
          <w:szCs w:val="28"/>
        </w:rPr>
        <w:t xml:space="preserve">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w:t>
      </w:r>
    </w:p>
    <w:p>
      <w:pPr>
        <w:pStyle w:val="ConsPlusNormal"/>
        <w:jc w:val="both"/>
        <w:rPr>
          <w:rFonts w:ascii="Times New Roman" w:hAnsi="Times New Roman" w:cs="Times New Roman"/>
          <w:sz w:val="28"/>
          <w:szCs w:val="28"/>
        </w:rPr>
      </w:pPr>
    </w:p>
    <w:p>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 xml:space="preserve">2. Управление рисками причинения вреда (ущерба) </w:t>
      </w:r>
      <w:r>
        <w:rPr>
          <w:rFonts w:ascii="Times New Roman" w:hAnsi="Times New Roman" w:cs="Times New Roman"/>
          <w:sz w:val="28"/>
          <w:szCs w:val="28"/>
        </w:rPr>
        <w:t xml:space="preserve">охраняемым</w:t>
      </w:r>
    </w:p>
    <w:p>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законом ценностям при осуществлении муниципального контроля</w:t>
      </w:r>
    </w:p>
    <w:p>
      <w:pPr>
        <w:pStyle w:val="ConsPlusNormal"/>
        <w:jc w:val="both"/>
        <w:rPr>
          <w:rFonts w:ascii="Times New Roman" w:hAnsi="Times New Roman" w:cs="Times New Roman"/>
          <w:sz w:val="28"/>
          <w:szCs w:val="28"/>
        </w:rPr>
      </w:pPr>
    </w:p>
    <w:p>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2.1. При осуществлении муниципального контроля в сфере благоустройства применяется система оценки и управления рисками причинения вреда (ущерба) охраняемым ценностям.</w:t>
      </w:r>
    </w:p>
    <w:p>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2.2. Контрольный орган для целей управления рисками причинения вреда (ущерба) при осуществлении муниципального контроля в сфере благоустройства относит объекты контроля к одной из следующих категорий </w:t>
      </w:r>
      <w:r>
        <w:rPr>
          <w:rFonts w:ascii="Times New Roman" w:hAnsi="Times New Roman" w:cs="Times New Roman"/>
          <w:sz w:val="28"/>
          <w:szCs w:val="28"/>
        </w:rPr>
        <w:t xml:space="preserve">риска причинения вреда (ущерба) (далее - категория риска):</w:t>
      </w:r>
    </w:p>
    <w:p>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чрезвычайно высокий;</w:t>
      </w:r>
    </w:p>
    <w:p>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высокий;</w:t>
      </w:r>
    </w:p>
    <w:p>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средний;</w:t>
      </w:r>
    </w:p>
    <w:p>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низкий.</w:t>
      </w:r>
    </w:p>
    <w:p>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2.3. Отнесение объекта контроля к одной из категорий риска осуществляется на основании сопоставления его характеристик с </w:t>
      </w:r>
      <w:hyperlink w:anchor="P214">
        <w:r>
          <w:rPr>
            <w:rFonts w:ascii="Times New Roman" w:hAnsi="Times New Roman" w:cs="Times New Roman"/>
            <w:color w:val="0000ff"/>
            <w:sz w:val="28"/>
            <w:szCs w:val="28"/>
          </w:rPr>
          <w:t xml:space="preserve">критериями</w:t>
        </w:r>
      </w:hyperlink>
      <w:r>
        <w:rPr>
          <w:rFonts w:ascii="Times New Roman" w:hAnsi="Times New Roman" w:cs="Times New Roman"/>
          <w:sz w:val="28"/>
          <w:szCs w:val="28"/>
        </w:rPr>
        <w:t xml:space="preserve"> отнесения объектов контроля к категории риска причинения вреда (ущерба) согласно приложению 2 к Положению.</w:t>
      </w:r>
    </w:p>
    <w:p>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В случае если объект контроля не отнесен к определенной категории риска, он считается отнесенным к категории низкого риска.</w:t>
      </w:r>
    </w:p>
    <w:p>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2.4. При наличии оснований, позволяющих отнести объект контроля к различным категориям риска, подлежат применению критерии, относящие объект контроля к более высоким категориям риска.</w:t>
      </w:r>
    </w:p>
    <w:p>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Изменение присвоенных объектам контроля категорий риска осуществляется при поступлении в контрольный орган информации об изменении сведений об объектах контроля.</w:t>
      </w:r>
    </w:p>
    <w:p>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2.5. Проведение плановых контрольных мероприятий в отношении объектов контроля, в зависимости от присвоенной категории риска осуществляется со следующей периодичностью:</w:t>
      </w:r>
    </w:p>
    <w:p>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чрезвычайно высокий риск причинения вреда (ущерба) - одна выездная или одна документарная проверка, или один рейдовый осмотр, или один инспекционный визит, или один обязательный профилактический визит в год;</w:t>
      </w:r>
    </w:p>
    <w:p>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высокий риск причинения вреда (ущерба) - одна выездная или одна документарная проверка, или один рейдовый осмотр, или один инспекционный визит в два года либо один обязательный профилактический визит в год - для объектов контроля, отнесенных к категории высокого риска;</w:t>
      </w:r>
    </w:p>
    <w:p>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2.6. Плановые контрольные мероприятия не проводятся в отношении объектов контроля, отнесенных к категориям среднего и низкого риска. Периодичность проведения обязательных профилактических визитов в отношении объектов контроля, отнесенных к категориям среднего и низкого риска, определяется Правительством Российской Федерации.</w:t>
      </w:r>
    </w:p>
    <w:p>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2.7. Периодичность проведения контрольных мероприятий может изменяться в случае изменения ранее присвоенной объекту контроля категории риска.</w:t>
      </w:r>
    </w:p>
    <w:p>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2.8. В целях оценки риска причинения вреда (ущерба) при принятии решения о проведении и выборе вида контрольного мероприятия контрольный орган применяет </w:t>
      </w:r>
      <w:hyperlink w:anchor="P265">
        <w:r>
          <w:rPr>
            <w:rFonts w:ascii="Times New Roman" w:hAnsi="Times New Roman" w:cs="Times New Roman"/>
            <w:color w:val="0000ff"/>
            <w:sz w:val="28"/>
            <w:szCs w:val="28"/>
          </w:rPr>
          <w:t xml:space="preserve">индикатор</w:t>
        </w:r>
      </w:hyperlink>
      <w:r>
        <w:rPr>
          <w:rFonts w:ascii="Times New Roman" w:hAnsi="Times New Roman" w:cs="Times New Roman"/>
          <w:sz w:val="28"/>
          <w:szCs w:val="28"/>
        </w:rPr>
        <w:t xml:space="preserve"> риска нарушения обязательных требований согласно приложению 3 к Положению.</w:t>
      </w:r>
    </w:p>
    <w:p>
      <w:pPr>
        <w:pStyle w:val="ConsPlusNormal"/>
        <w:jc w:val="both"/>
        <w:rPr>
          <w:rFonts w:ascii="Times New Roman" w:hAnsi="Times New Roman" w:cs="Times New Roman"/>
          <w:sz w:val="28"/>
          <w:szCs w:val="28"/>
        </w:rPr>
      </w:pPr>
    </w:p>
    <w:p>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 xml:space="preserve">3. Профилактика рисков причинения вреда (ущерба)</w:t>
      </w:r>
    </w:p>
    <w:p>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охраняемым законом ценностям</w:t>
      </w:r>
    </w:p>
    <w:p>
      <w:pPr>
        <w:pStyle w:val="ConsPlusNormal"/>
        <w:jc w:val="both"/>
        <w:rPr>
          <w:rFonts w:ascii="Times New Roman" w:hAnsi="Times New Roman" w:cs="Times New Roman"/>
          <w:sz w:val="28"/>
          <w:szCs w:val="28"/>
        </w:rPr>
      </w:pPr>
    </w:p>
    <w:p>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3.1. Контрольный орган осуществляет муниципальный контроль в сфере </w:t>
      </w:r>
      <w:r>
        <w:rPr>
          <w:rFonts w:ascii="Times New Roman" w:hAnsi="Times New Roman" w:cs="Times New Roman"/>
          <w:sz w:val="28"/>
          <w:szCs w:val="28"/>
        </w:rPr>
        <w:t xml:space="preserve">благоустройства</w:t>
      </w:r>
      <w:r>
        <w:rPr>
          <w:rFonts w:ascii="Times New Roman" w:hAnsi="Times New Roman" w:cs="Times New Roman"/>
          <w:sz w:val="28"/>
          <w:szCs w:val="28"/>
        </w:rPr>
        <w:t xml:space="preserve"> в том числе посредством проведения профилактических мероприятий.</w:t>
      </w:r>
    </w:p>
    <w:p>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3.2. Профилактические мероприятия осуществляются на основании программы профилактики рисков причинения вреда, утвержденной в порядке, установленном Правительством Российской Федерации.</w:t>
      </w:r>
    </w:p>
    <w:p>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3.3. При осуществлении муниципального контроля в сфере благоустройства проводятся следующие профилактические мероприятия: информирование, обобщение правоприменительной практики, объявление предостережения, консультирование, профилактический визит.</w:t>
      </w:r>
    </w:p>
    <w:p>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3.4. Контрольный орган осуществляет информирование контролируемых лиц и иных заинтересованных лиц по вопросам соблюдения обязательных требований путем размещения соответствующей информации на официальном Интернет-сайте города Барнаула, в средствах массовой информации, через личные кабинеты контролируемых лиц в государственных информационных системах (при их наличии).</w:t>
      </w:r>
    </w:p>
    <w:p>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3.5. Контрольный орган обязан размещать и поддерживать в актуальном состоянии на официальном Интернет-сайте города Барнаула в специальном разделе, посвященном контрольной деятельности, сведения, предусмотренные </w:t>
      </w:r>
      <w:hyperlink r:id="rId22">
        <w:r>
          <w:rPr>
            <w:rFonts w:ascii="Times New Roman" w:hAnsi="Times New Roman" w:cs="Times New Roman"/>
            <w:color w:val="0000ff"/>
            <w:sz w:val="28"/>
            <w:szCs w:val="28"/>
          </w:rPr>
          <w:t xml:space="preserve">частью 3 статьи 46</w:t>
        </w:r>
      </w:hyperlink>
      <w:r>
        <w:rPr>
          <w:rFonts w:ascii="Times New Roman" w:hAnsi="Times New Roman" w:cs="Times New Roman"/>
          <w:sz w:val="28"/>
          <w:szCs w:val="28"/>
        </w:rPr>
        <w:t xml:space="preserve"> Федерального закона N 248-ФЗ и которые применимы для муниципального контроля в сфере благоустройства с учетом действующего законодательства.</w:t>
      </w:r>
    </w:p>
    <w:p>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3.6. По итогам обобщения правоприменительной практики контрольный орган обеспечивает подготовку проекта доклада, который утверждается постановлением контрольного органа до 1 февраля года, следующего </w:t>
      </w:r>
      <w:r>
        <w:rPr>
          <w:rFonts w:ascii="Times New Roman" w:hAnsi="Times New Roman" w:cs="Times New Roman"/>
          <w:sz w:val="28"/>
          <w:szCs w:val="28"/>
        </w:rPr>
        <w:t xml:space="preserve">за</w:t>
      </w:r>
      <w:r>
        <w:rPr>
          <w:rFonts w:ascii="Times New Roman" w:hAnsi="Times New Roman" w:cs="Times New Roman"/>
          <w:sz w:val="28"/>
          <w:szCs w:val="28"/>
        </w:rPr>
        <w:t xml:space="preserve"> </w:t>
      </w:r>
      <w:r>
        <w:rPr>
          <w:rFonts w:ascii="Times New Roman" w:hAnsi="Times New Roman" w:cs="Times New Roman"/>
          <w:sz w:val="28"/>
          <w:szCs w:val="28"/>
        </w:rPr>
        <w:t xml:space="preserve">отчетным</w:t>
      </w:r>
      <w:r>
        <w:rPr>
          <w:rFonts w:ascii="Times New Roman" w:hAnsi="Times New Roman" w:cs="Times New Roman"/>
          <w:sz w:val="28"/>
          <w:szCs w:val="28"/>
        </w:rPr>
        <w:t xml:space="preserve"> и в течение пяти рабочих дней со дня его утверждения размещается на официальном Интернет-сайте города Барнаула. Размещение доклада о правоприменительной практике осуществляется не позднее 15 марта года, следующего за </w:t>
      </w:r>
      <w:r>
        <w:rPr>
          <w:rFonts w:ascii="Times New Roman" w:hAnsi="Times New Roman" w:cs="Times New Roman"/>
          <w:sz w:val="28"/>
          <w:szCs w:val="28"/>
        </w:rPr>
        <w:t xml:space="preserve">отчетным</w:t>
      </w:r>
      <w:r>
        <w:rPr>
          <w:rFonts w:ascii="Times New Roman" w:hAnsi="Times New Roman" w:cs="Times New Roman"/>
          <w:sz w:val="28"/>
          <w:szCs w:val="28"/>
        </w:rPr>
        <w:t xml:space="preserve">.</w:t>
      </w:r>
    </w:p>
    <w:p>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3.7. Объявление предостережения о недопустимости нарушения обязательных требований (далее - предостережение) осуществляется контрольным органом в соответствии со </w:t>
      </w:r>
      <w:hyperlink r:id="rId23">
        <w:r>
          <w:rPr>
            <w:rFonts w:ascii="Times New Roman" w:hAnsi="Times New Roman" w:cs="Times New Roman"/>
            <w:color w:val="0000ff"/>
            <w:sz w:val="28"/>
            <w:szCs w:val="28"/>
          </w:rPr>
          <w:t xml:space="preserve">статьей 49</w:t>
        </w:r>
      </w:hyperlink>
      <w:r>
        <w:rPr>
          <w:rFonts w:ascii="Times New Roman" w:hAnsi="Times New Roman" w:cs="Times New Roman"/>
          <w:sz w:val="28"/>
          <w:szCs w:val="28"/>
        </w:rPr>
        <w:t xml:space="preserve"> Федерального закона N 248-ФЗ.</w:t>
      </w:r>
    </w:p>
    <w:p>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3.8. Контролируемое лицо вправе после получения предостережения подать в контрольный орган в письменной форме возражение в отношении указанного предостережения в срок не позднее 10 рабочих дней, следующих со дня получения им предостережения.</w:t>
      </w:r>
    </w:p>
    <w:p>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3.9. В возражении указываются:</w:t>
      </w:r>
    </w:p>
    <w:p>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1) данные контролируемого лица - наименование юридического лица, фамилия, имя, отчество (при наличии) индивидуального предпринимателя, руководителя крестьянского (фермерского) хозяйства без образования юридического лица, гражданина Российской Федерации, иностранного гражданина, лица без гражданства;</w:t>
      </w:r>
    </w:p>
    <w:p>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2) идентификационный номер налогоплательщика - контролируемого лица;</w:t>
      </w:r>
    </w:p>
    <w:p>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3) дата и номер предостережения, направленного в адрес контролируемого лица;</w:t>
      </w:r>
    </w:p>
    <w:p>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4) 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w:t>
      </w:r>
    </w:p>
    <w:p>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5) способ получения результатов рассмотрения возражения.</w:t>
      </w:r>
    </w:p>
    <w:p>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3.10. Возражение направляется контролируемым лицом в бумажном виде почтовым отправлением через организацию федеральной почтовой связи в контрольный орган либо в виде электронного документа на указанный в предостережении адрес электронной почты контрольного органа. Контролируемое лицо вправе приложить к возражению документы, подтверждающие обоснованность возражений, или их копии.</w:t>
      </w:r>
    </w:p>
    <w:p>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3.11. В течение 20 рабочих дней, следующих со дня получения возражения, контрольный орган:</w:t>
      </w:r>
    </w:p>
    <w:p>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рассматривает возражение;</w:t>
      </w:r>
    </w:p>
    <w:p>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по итогам рассмотрения возражения направляет ответ контролируемому лицу.</w:t>
      </w:r>
    </w:p>
    <w:p>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3.12. Контрольный орган осуществляет учет объявленных предостережений посредством ведения журнала в электронном виде по форме, обеспечивающей учет указанной информации, и использует соответствующие сведения для проведения профилактических и контрольных мероприятий.</w:t>
      </w:r>
    </w:p>
    <w:p>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3.13. Должностные лица контрольного органа по обращениям контролируемых лиц и их представителей осуществляют консультирование (дают разъяснения по вопросам, связанным с организацией и </w:t>
      </w:r>
      <w:r>
        <w:rPr>
          <w:rFonts w:ascii="Times New Roman" w:hAnsi="Times New Roman" w:cs="Times New Roman"/>
          <w:sz w:val="28"/>
          <w:szCs w:val="28"/>
        </w:rPr>
        <w:t xml:space="preserve">осуществлением муниципального контроля в сфере благоустройства в соответствии со </w:t>
      </w:r>
      <w:hyperlink r:id="rId24">
        <w:r>
          <w:rPr>
            <w:rFonts w:ascii="Times New Roman" w:hAnsi="Times New Roman" w:cs="Times New Roman"/>
            <w:color w:val="0000ff"/>
            <w:sz w:val="28"/>
            <w:szCs w:val="28"/>
          </w:rPr>
          <w:t xml:space="preserve">статьей 50</w:t>
        </w:r>
      </w:hyperlink>
      <w:r>
        <w:rPr>
          <w:rFonts w:ascii="Times New Roman" w:hAnsi="Times New Roman" w:cs="Times New Roman"/>
          <w:sz w:val="28"/>
          <w:szCs w:val="28"/>
        </w:rPr>
        <w:t xml:space="preserve"> Федерального закона N 248-ФЗ).</w:t>
      </w:r>
    </w:p>
    <w:p>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3.14. Консультирование (в том числе письменное) осуществляется по следующим вопросам:</w:t>
      </w:r>
    </w:p>
    <w:p>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соблюдение обязательных требований в рамках муниципального контроля в сфере благоустройства;</w:t>
      </w:r>
    </w:p>
    <w:p>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порядок осуществления муниципального контроля в сфере благоустройства;</w:t>
      </w:r>
    </w:p>
    <w:p>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порядок обжалования решений контрольного органа, действий (бездействия) должностных лиц контрольного органа.</w:t>
      </w:r>
    </w:p>
    <w:p>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3.15. По итогам консультирования информация в письменной форме контролируемым лицам и их представителям не предоставляется, за исключением случаев консультирования на основании обращений контролируемых лиц, поступивших в письменной форме или в форме электронных документов. Контролируемое лицо вправе направить запрос о предоставлении письменного ответа в сроки, установленные Федеральным </w:t>
      </w:r>
      <w:hyperlink r:id="rId25">
        <w:r>
          <w:rPr>
            <w:rFonts w:ascii="Times New Roman" w:hAnsi="Times New Roman" w:cs="Times New Roman"/>
            <w:color w:val="0000ff"/>
            <w:sz w:val="28"/>
            <w:szCs w:val="28"/>
          </w:rPr>
          <w:t xml:space="preserve">законом</w:t>
        </w:r>
      </w:hyperlink>
      <w:r>
        <w:rPr>
          <w:rFonts w:ascii="Times New Roman" w:hAnsi="Times New Roman" w:cs="Times New Roman"/>
          <w:sz w:val="28"/>
          <w:szCs w:val="28"/>
        </w:rPr>
        <w:t xml:space="preserve"> от 02.05.2006 N 59-ФЗ "О порядке рассмотрения обращений граждан Российской Федерации".</w:t>
      </w:r>
    </w:p>
    <w:p>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3.16. В случае если в течение календарного года поступило пять и более однотипных (по одним и тем же вопросам) обращений контролируемых лиц и их представителей, консультирование осуществляется посредством размещения на официальном Интернет-сайте города Барнаула письменного разъяснения, подписанного уполномоченным должностным лицом контрольного органа.</w:t>
      </w:r>
    </w:p>
    <w:p>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3.17. Учет консультирований осуществляется контрольным органом путем ведения журнала учета консультирований в электронном виде по форме, обеспечивающей учет указанной информации.</w:t>
      </w:r>
    </w:p>
    <w:p>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3.18. Профилактический визит проводится инспектором в соответствии со </w:t>
      </w:r>
      <w:hyperlink r:id="rId26">
        <w:r>
          <w:rPr>
            <w:rFonts w:ascii="Times New Roman" w:hAnsi="Times New Roman" w:cs="Times New Roman"/>
            <w:color w:val="0000ff"/>
            <w:sz w:val="28"/>
            <w:szCs w:val="28"/>
          </w:rPr>
          <w:t xml:space="preserve">статьей 52</w:t>
        </w:r>
      </w:hyperlink>
      <w:r>
        <w:rPr>
          <w:rFonts w:ascii="Times New Roman" w:hAnsi="Times New Roman" w:cs="Times New Roman"/>
          <w:sz w:val="28"/>
          <w:szCs w:val="28"/>
        </w:rPr>
        <w:t xml:space="preserve"> Федерального закона N 248-ФЗ.</w:t>
      </w:r>
    </w:p>
    <w:p>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3.19. Обязательный профилактический визит проводится в порядке и в срок, </w:t>
      </w:r>
      <w:r>
        <w:rPr>
          <w:rFonts w:ascii="Times New Roman" w:hAnsi="Times New Roman" w:cs="Times New Roman"/>
          <w:sz w:val="28"/>
          <w:szCs w:val="28"/>
        </w:rPr>
        <w:t xml:space="preserve">предусмотренные</w:t>
      </w:r>
      <w:r>
        <w:rPr>
          <w:rFonts w:ascii="Times New Roman" w:hAnsi="Times New Roman" w:cs="Times New Roman"/>
          <w:sz w:val="28"/>
          <w:szCs w:val="28"/>
        </w:rPr>
        <w:t xml:space="preserve"> </w:t>
      </w:r>
      <w:hyperlink r:id="rId27">
        <w:r>
          <w:rPr>
            <w:rFonts w:ascii="Times New Roman" w:hAnsi="Times New Roman" w:cs="Times New Roman"/>
            <w:color w:val="0000ff"/>
            <w:sz w:val="28"/>
            <w:szCs w:val="28"/>
          </w:rPr>
          <w:t xml:space="preserve">статьей 52.1</w:t>
        </w:r>
      </w:hyperlink>
      <w:r>
        <w:rPr>
          <w:rFonts w:ascii="Times New Roman" w:hAnsi="Times New Roman" w:cs="Times New Roman"/>
          <w:sz w:val="28"/>
          <w:szCs w:val="28"/>
        </w:rPr>
        <w:t xml:space="preserve"> Федерального закона N 248-ФЗ. Профилактический визит по инициативе контролируемого лица проводится в порядке и в срок, предусмотренные </w:t>
      </w:r>
      <w:hyperlink r:id="rId28">
        <w:r>
          <w:rPr>
            <w:rFonts w:ascii="Times New Roman" w:hAnsi="Times New Roman" w:cs="Times New Roman"/>
            <w:color w:val="0000ff"/>
            <w:sz w:val="28"/>
            <w:szCs w:val="28"/>
          </w:rPr>
          <w:t xml:space="preserve">статьей 52.2</w:t>
        </w:r>
      </w:hyperlink>
      <w:r>
        <w:rPr>
          <w:rFonts w:ascii="Times New Roman" w:hAnsi="Times New Roman" w:cs="Times New Roman"/>
          <w:sz w:val="28"/>
          <w:szCs w:val="28"/>
        </w:rPr>
        <w:t xml:space="preserve"> Федерального закона N 248-ФЗ.</w:t>
      </w:r>
    </w:p>
    <w:p>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3.20. Учет профилактических визитов осуществляется контрольным органом путем ведения журнала учета профилактических визитов в электронном виде по форме, обеспечивающей учет указанной информации.</w:t>
      </w:r>
    </w:p>
    <w:p>
      <w:pPr>
        <w:pStyle w:val="ConsPlusNormal"/>
        <w:jc w:val="both"/>
        <w:rPr>
          <w:rFonts w:ascii="Times New Roman" w:hAnsi="Times New Roman" w:cs="Times New Roman"/>
          <w:sz w:val="28"/>
          <w:szCs w:val="28"/>
        </w:rPr>
      </w:pPr>
    </w:p>
    <w:p>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 xml:space="preserve">4. Осуществление муниципального контроля в сфере</w:t>
      </w:r>
    </w:p>
    <w:p>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благоустройства</w:t>
      </w:r>
    </w:p>
    <w:p>
      <w:pPr>
        <w:pStyle w:val="ConsPlusNormal"/>
        <w:jc w:val="both"/>
        <w:rPr>
          <w:rFonts w:ascii="Times New Roman" w:hAnsi="Times New Roman" w:cs="Times New Roman"/>
          <w:sz w:val="28"/>
          <w:szCs w:val="28"/>
        </w:rPr>
      </w:pPr>
    </w:p>
    <w:p>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4.1. В рамках осуществления муниципального контроля в сфере благоустройства проводятся следующие контрольные мероприятия:</w:t>
      </w:r>
    </w:p>
    <w:p>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1) инспекционный визит;</w:t>
      </w:r>
    </w:p>
    <w:p>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2) рейдовый осмотр;</w:t>
      </w:r>
    </w:p>
    <w:p>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3) документарная проверка;</w:t>
      </w:r>
    </w:p>
    <w:p>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4) выездная проверка.</w:t>
      </w:r>
    </w:p>
    <w:p>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4.2. Контрольные мероприятия проводятся по основаниям, предусмотренным </w:t>
      </w:r>
      <w:hyperlink r:id="rId29">
        <w:r>
          <w:rPr>
            <w:rFonts w:ascii="Times New Roman" w:hAnsi="Times New Roman" w:cs="Times New Roman"/>
            <w:color w:val="0000ff"/>
            <w:sz w:val="28"/>
            <w:szCs w:val="28"/>
          </w:rPr>
          <w:t xml:space="preserve">пунктами 1</w:t>
        </w:r>
      </w:hyperlink>
      <w:r>
        <w:rPr>
          <w:rFonts w:ascii="Times New Roman" w:hAnsi="Times New Roman" w:cs="Times New Roman"/>
          <w:sz w:val="28"/>
          <w:szCs w:val="28"/>
        </w:rPr>
        <w:t xml:space="preserve">, </w:t>
      </w:r>
      <w:hyperlink r:id="rId30">
        <w:r>
          <w:rPr>
            <w:rFonts w:ascii="Times New Roman" w:hAnsi="Times New Roman" w:cs="Times New Roman"/>
            <w:color w:val="0000ff"/>
            <w:sz w:val="28"/>
            <w:szCs w:val="28"/>
          </w:rPr>
          <w:t xml:space="preserve">3</w:t>
        </w:r>
      </w:hyperlink>
      <w:r>
        <w:rPr>
          <w:rFonts w:ascii="Times New Roman" w:hAnsi="Times New Roman" w:cs="Times New Roman"/>
          <w:sz w:val="28"/>
          <w:szCs w:val="28"/>
        </w:rPr>
        <w:t xml:space="preserve"> - </w:t>
      </w:r>
      <w:hyperlink r:id="rId31">
        <w:r>
          <w:rPr>
            <w:rFonts w:ascii="Times New Roman" w:hAnsi="Times New Roman" w:cs="Times New Roman"/>
            <w:color w:val="0000ff"/>
            <w:sz w:val="28"/>
            <w:szCs w:val="28"/>
          </w:rPr>
          <w:t xml:space="preserve">5</w:t>
        </w:r>
      </w:hyperlink>
      <w:r>
        <w:rPr>
          <w:rFonts w:ascii="Times New Roman" w:hAnsi="Times New Roman" w:cs="Times New Roman"/>
          <w:sz w:val="28"/>
          <w:szCs w:val="28"/>
        </w:rPr>
        <w:t xml:space="preserve">, </w:t>
      </w:r>
      <w:hyperlink r:id="rId32">
        <w:r>
          <w:rPr>
            <w:rFonts w:ascii="Times New Roman" w:hAnsi="Times New Roman" w:cs="Times New Roman"/>
            <w:color w:val="0000ff"/>
            <w:sz w:val="28"/>
            <w:szCs w:val="28"/>
          </w:rPr>
          <w:t xml:space="preserve">7</w:t>
        </w:r>
      </w:hyperlink>
      <w:r>
        <w:rPr>
          <w:rFonts w:ascii="Times New Roman" w:hAnsi="Times New Roman" w:cs="Times New Roman"/>
          <w:sz w:val="28"/>
          <w:szCs w:val="28"/>
        </w:rPr>
        <w:t xml:space="preserve"> - </w:t>
      </w:r>
      <w:hyperlink r:id="rId33">
        <w:r>
          <w:rPr>
            <w:rFonts w:ascii="Times New Roman" w:hAnsi="Times New Roman" w:cs="Times New Roman"/>
            <w:color w:val="0000ff"/>
            <w:sz w:val="28"/>
            <w:szCs w:val="28"/>
          </w:rPr>
          <w:t xml:space="preserve">9 части 1 статьи 57</w:t>
        </w:r>
      </w:hyperlink>
      <w:r>
        <w:rPr>
          <w:rFonts w:ascii="Times New Roman" w:hAnsi="Times New Roman" w:cs="Times New Roman"/>
          <w:sz w:val="28"/>
          <w:szCs w:val="28"/>
        </w:rPr>
        <w:t xml:space="preserve"> Федерального закона N 248-ФЗ.</w:t>
      </w:r>
    </w:p>
    <w:p>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4.3. Инспекционный визит осуществляется в соответствии со </w:t>
      </w:r>
      <w:hyperlink r:id="rId34">
        <w:r>
          <w:rPr>
            <w:rFonts w:ascii="Times New Roman" w:hAnsi="Times New Roman" w:cs="Times New Roman"/>
            <w:color w:val="0000ff"/>
            <w:sz w:val="28"/>
            <w:szCs w:val="28"/>
          </w:rPr>
          <w:t xml:space="preserve">статьей 70</w:t>
        </w:r>
      </w:hyperlink>
      <w:r>
        <w:rPr>
          <w:rFonts w:ascii="Times New Roman" w:hAnsi="Times New Roman" w:cs="Times New Roman"/>
          <w:sz w:val="28"/>
          <w:szCs w:val="28"/>
        </w:rPr>
        <w:t xml:space="preserve"> Федерального закона N 248-ФЗ.</w:t>
      </w:r>
    </w:p>
    <w:p>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4.4. В ходе инспекционного визита могут совершаться следующие контрольные действия (в том числе с использованием средств дистанционного взаимодействия, в том числе посредством </w:t>
      </w:r>
      <w:r>
        <w:rPr>
          <w:rFonts w:ascii="Times New Roman" w:hAnsi="Times New Roman" w:cs="Times New Roman"/>
          <w:sz w:val="28"/>
          <w:szCs w:val="28"/>
        </w:rPr>
        <w:t xml:space="preserve">видео-конференц-связи</w:t>
      </w:r>
      <w:r>
        <w:rPr>
          <w:rFonts w:ascii="Times New Roman" w:hAnsi="Times New Roman" w:cs="Times New Roman"/>
          <w:sz w:val="28"/>
          <w:szCs w:val="28"/>
        </w:rPr>
        <w:t xml:space="preserve">, а также с использованием мобильного приложения "Инспектор"):</w:t>
      </w:r>
    </w:p>
    <w:p>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осмотр;</w:t>
      </w:r>
    </w:p>
    <w:p>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опрос;</w:t>
      </w:r>
    </w:p>
    <w:p>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получение письменных объяснений;</w:t>
      </w:r>
    </w:p>
    <w:p>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4.5. Рейдовый осмотр осуществляется в соответствии со </w:t>
      </w:r>
      <w:hyperlink r:id="rId35">
        <w:r>
          <w:rPr>
            <w:rFonts w:ascii="Times New Roman" w:hAnsi="Times New Roman" w:cs="Times New Roman"/>
            <w:color w:val="0000ff"/>
            <w:sz w:val="28"/>
            <w:szCs w:val="28"/>
          </w:rPr>
          <w:t xml:space="preserve">статьей 71</w:t>
        </w:r>
      </w:hyperlink>
      <w:r>
        <w:rPr>
          <w:rFonts w:ascii="Times New Roman" w:hAnsi="Times New Roman" w:cs="Times New Roman"/>
          <w:sz w:val="28"/>
          <w:szCs w:val="28"/>
        </w:rPr>
        <w:t xml:space="preserve"> Федерального закона N 248-ФЗ.</w:t>
      </w:r>
    </w:p>
    <w:p>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4.6. В ходе рейдового осмотра могут совершаться следующие контрольные действия (в том числе с использованием средств дистанционного взаимодействия, в том числе посредством </w:t>
      </w:r>
      <w:r>
        <w:rPr>
          <w:rFonts w:ascii="Times New Roman" w:hAnsi="Times New Roman" w:cs="Times New Roman"/>
          <w:sz w:val="28"/>
          <w:szCs w:val="28"/>
        </w:rPr>
        <w:t xml:space="preserve">видео-конференц-связи</w:t>
      </w:r>
      <w:r>
        <w:rPr>
          <w:rFonts w:ascii="Times New Roman" w:hAnsi="Times New Roman" w:cs="Times New Roman"/>
          <w:sz w:val="28"/>
          <w:szCs w:val="28"/>
        </w:rPr>
        <w:t xml:space="preserve">, а также с использованием мобильного приложения "Инспектор"):</w:t>
      </w:r>
    </w:p>
    <w:p>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осмотр;</w:t>
      </w:r>
    </w:p>
    <w:p>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досмотр;</w:t>
      </w:r>
    </w:p>
    <w:p>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опрос;</w:t>
      </w:r>
    </w:p>
    <w:p>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получение письменных объяснений;</w:t>
      </w:r>
    </w:p>
    <w:p>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истребование документов.</w:t>
      </w:r>
    </w:p>
    <w:p>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4.7. Документарная проверка осуществляется в соответствии со </w:t>
      </w:r>
      <w:hyperlink r:id="rId36">
        <w:r>
          <w:rPr>
            <w:rFonts w:ascii="Times New Roman" w:hAnsi="Times New Roman" w:cs="Times New Roman"/>
            <w:color w:val="0000ff"/>
            <w:sz w:val="28"/>
            <w:szCs w:val="28"/>
          </w:rPr>
          <w:t xml:space="preserve">статьей 72</w:t>
        </w:r>
      </w:hyperlink>
      <w:r>
        <w:rPr>
          <w:rFonts w:ascii="Times New Roman" w:hAnsi="Times New Roman" w:cs="Times New Roman"/>
          <w:sz w:val="28"/>
          <w:szCs w:val="28"/>
        </w:rPr>
        <w:t xml:space="preserve"> Федерального закона N 248-ФЗ.</w:t>
      </w:r>
    </w:p>
    <w:p>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4.8. В ходе документарной проверки могут совершаться следующие контрольные действия:</w:t>
      </w:r>
    </w:p>
    <w:p>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получение письменных объяснений;</w:t>
      </w:r>
    </w:p>
    <w:p>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истребование документов.</w:t>
      </w:r>
    </w:p>
    <w:p>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4.9. Выездная проверка осуществляется в соответствии со </w:t>
      </w:r>
      <w:hyperlink r:id="rId37">
        <w:r>
          <w:rPr>
            <w:rFonts w:ascii="Times New Roman" w:hAnsi="Times New Roman" w:cs="Times New Roman"/>
            <w:color w:val="0000ff"/>
            <w:sz w:val="28"/>
            <w:szCs w:val="28"/>
          </w:rPr>
          <w:t xml:space="preserve">статьей 73</w:t>
        </w:r>
      </w:hyperlink>
      <w:r>
        <w:rPr>
          <w:rFonts w:ascii="Times New Roman" w:hAnsi="Times New Roman" w:cs="Times New Roman"/>
          <w:sz w:val="28"/>
          <w:szCs w:val="28"/>
        </w:rPr>
        <w:t xml:space="preserve"> Федерального закона N 248-ФЗ.</w:t>
      </w:r>
    </w:p>
    <w:p>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4.10. В ходе выездной проверки могут совершаться следующие контрольные действия:</w:t>
      </w:r>
    </w:p>
    <w:p>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осмотр;</w:t>
      </w:r>
    </w:p>
    <w:p>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досмотр;</w:t>
      </w:r>
    </w:p>
    <w:p>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опрос;</w:t>
      </w:r>
    </w:p>
    <w:p>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получение письменных объяснений;</w:t>
      </w:r>
    </w:p>
    <w:p>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истребование документов.</w:t>
      </w:r>
    </w:p>
    <w:p>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4.11. В целях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 </w:t>
      </w:r>
      <w:r>
        <w:rPr>
          <w:rFonts w:ascii="Times New Roman" w:hAnsi="Times New Roman" w:cs="Times New Roman"/>
          <w:sz w:val="28"/>
          <w:szCs w:val="28"/>
        </w:rPr>
        <w:t xml:space="preserve">Решение о необходимости использования собственных технических средств, в том числе электронных вычислительных машин и электронных носителей информации, копировальных аппаратов, сканеров, телефонов (в том числе сотовой связи), фотоаппаратов, средств аудио- и видеозаписи, необходимых для проведения контрольных (надзорных) мероприятий,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должностными лицами уполномоченного органа самостоятельно.</w:t>
      </w:r>
    </w:p>
    <w:p>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4.12. Информация о проведении фотосъемки, аудио- и видеозаписи и об использованных для этих целей технических средствах отражается в акте контрольного мероприятия.</w:t>
      </w:r>
    </w:p>
    <w:p>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4.13. Фиксация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 Аудио- и видеозапись </w:t>
      </w:r>
      <w:r>
        <w:rPr>
          <w:rFonts w:ascii="Times New Roman" w:hAnsi="Times New Roman" w:cs="Times New Roman"/>
          <w:sz w:val="28"/>
          <w:szCs w:val="28"/>
        </w:rPr>
        <w:t xml:space="preserve">осуществляется в ходе проведения контрольного мероприятия непрерывно (с уведомлением в начале и в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 Результаты проведения фотосъемки, аудио- и видеозаписи являются приложением к акту по результатам контрольного мероприятия. Использование фотосъемки, аудио-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4.14. Индивидуальный предприниматель, гражданин, являющиеся контролируемыми лицами, вправе представить в контрольный орган документально подтвержденную информацию о невозможности присутствия при проведении контрольного мероприятия в случаях:</w:t>
      </w:r>
    </w:p>
    <w:p>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1) заболевания, связанного с утратой трудоспособности;</w:t>
      </w:r>
    </w:p>
    <w:p>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2) препятствия, возникшего в результате действия непреодолимой силы.</w:t>
      </w:r>
    </w:p>
    <w:p>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По результатам рассмотрения указанной информации проведение контрольного мероприятия переносится уполномоченным органом на срок, необходимый для устранения обстоятельств, послуживших поводом для данного обращения.</w:t>
      </w:r>
    </w:p>
    <w:p>
      <w:pPr>
        <w:pStyle w:val="ConsPlusNormal"/>
        <w:jc w:val="both"/>
        <w:rPr>
          <w:rFonts w:ascii="Times New Roman" w:hAnsi="Times New Roman" w:cs="Times New Roman"/>
          <w:sz w:val="28"/>
          <w:szCs w:val="28"/>
        </w:rPr>
      </w:pPr>
    </w:p>
    <w:p>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 xml:space="preserve">5. Результаты контрольного мероприятия</w:t>
      </w:r>
    </w:p>
    <w:p>
      <w:pPr>
        <w:pStyle w:val="ConsPlusNormal"/>
        <w:jc w:val="both"/>
        <w:rPr>
          <w:rFonts w:ascii="Times New Roman" w:hAnsi="Times New Roman" w:cs="Times New Roman"/>
          <w:sz w:val="28"/>
          <w:szCs w:val="28"/>
        </w:rPr>
      </w:pPr>
    </w:p>
    <w:p>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5.1. Результаты контрольного мероприятия оформляются в порядке, предусмотренном </w:t>
      </w:r>
      <w:hyperlink r:id="rId38">
        <w:r>
          <w:rPr>
            <w:rFonts w:ascii="Times New Roman" w:hAnsi="Times New Roman" w:cs="Times New Roman"/>
            <w:color w:val="0000ff"/>
            <w:sz w:val="28"/>
            <w:szCs w:val="28"/>
          </w:rPr>
          <w:t xml:space="preserve">главой 16</w:t>
        </w:r>
      </w:hyperlink>
      <w:r>
        <w:rPr>
          <w:rFonts w:ascii="Times New Roman" w:hAnsi="Times New Roman" w:cs="Times New Roman"/>
          <w:sz w:val="28"/>
          <w:szCs w:val="28"/>
        </w:rPr>
        <w:t xml:space="preserve"> Федерального закона N 248-ФЗ.</w:t>
      </w:r>
    </w:p>
    <w:p>
      <w:pPr>
        <w:pStyle w:val="ConsPlusNormal"/>
        <w:jc w:val="both"/>
        <w:rPr>
          <w:rFonts w:ascii="Times New Roman" w:hAnsi="Times New Roman" w:cs="Times New Roman"/>
          <w:sz w:val="28"/>
          <w:szCs w:val="28"/>
        </w:rPr>
      </w:pPr>
    </w:p>
    <w:p>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 xml:space="preserve">6. Обжалование решений контрольного органа, действий</w:t>
      </w:r>
    </w:p>
    <w:p>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(бездействия) его должностных лиц</w:t>
      </w:r>
    </w:p>
    <w:p>
      <w:pPr>
        <w:pStyle w:val="ConsPlusNormal"/>
        <w:jc w:val="both"/>
        <w:rPr>
          <w:rFonts w:ascii="Times New Roman" w:hAnsi="Times New Roman" w:cs="Times New Roman"/>
          <w:sz w:val="28"/>
          <w:szCs w:val="28"/>
        </w:rPr>
      </w:pPr>
    </w:p>
    <w:p>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6.1. Правом на обжалование решений контрольного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w:t>
      </w:r>
      <w:hyperlink r:id="rId39">
        <w:r>
          <w:rPr>
            <w:rFonts w:ascii="Times New Roman" w:hAnsi="Times New Roman" w:cs="Times New Roman"/>
            <w:color w:val="0000ff"/>
            <w:sz w:val="28"/>
            <w:szCs w:val="28"/>
          </w:rPr>
          <w:t xml:space="preserve">части 4 статьи 40</w:t>
        </w:r>
      </w:hyperlink>
      <w:r>
        <w:rPr>
          <w:rFonts w:ascii="Times New Roman" w:hAnsi="Times New Roman" w:cs="Times New Roman"/>
          <w:sz w:val="28"/>
          <w:szCs w:val="28"/>
        </w:rPr>
        <w:t xml:space="preserve"> Федерального закона N 248-ФЗ.</w:t>
      </w:r>
    </w:p>
    <w:p>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6.2. Досудебный порядок подачи жалоб при осуществлении муниципального контроля в сфере благоустройства не применяется.</w:t>
      </w:r>
    </w:p>
    <w:p>
      <w:pPr>
        <w:pStyle w:val="ConsPlusNormal"/>
        <w:jc w:val="both"/>
        <w:rPr>
          <w:rFonts w:ascii="Times New Roman" w:hAnsi="Times New Roman" w:cs="Times New Roman"/>
          <w:sz w:val="28"/>
          <w:szCs w:val="28"/>
        </w:rPr>
      </w:pPr>
    </w:p>
    <w:p>
      <w:pPr>
        <w:pStyle w:val="ConsPlusNormal"/>
        <w:jc w:val="both"/>
        <w:rPr>
          <w:rFonts w:ascii="Times New Roman" w:hAnsi="Times New Roman" w:cs="Times New Roman"/>
          <w:sz w:val="28"/>
          <w:szCs w:val="28"/>
        </w:rPr>
      </w:pPr>
    </w:p>
    <w:p>
      <w:pPr>
        <w:pStyle w:val="ConsPlusNormal"/>
        <w:jc w:val="both"/>
        <w:rPr>
          <w:rFonts w:ascii="Times New Roman" w:hAnsi="Times New Roman" w:cs="Times New Roman"/>
          <w:sz w:val="28"/>
          <w:szCs w:val="28"/>
        </w:rPr>
      </w:pPr>
    </w:p>
    <w:p>
      <w:pPr>
        <w:pStyle w:val="ConsPlusNormal"/>
        <w:jc w:val="both"/>
        <w:rPr>
          <w:rFonts w:ascii="Times New Roman" w:hAnsi="Times New Roman" w:cs="Times New Roman"/>
          <w:sz w:val="28"/>
          <w:szCs w:val="28"/>
        </w:rPr>
      </w:pPr>
    </w:p>
    <w:p>
      <w:pPr>
        <w:pStyle w:val="ConsPlusNormal"/>
        <w:jc w:val="both"/>
        <w:rPr>
          <w:rFonts w:ascii="Times New Roman" w:hAnsi="Times New Roman" w:cs="Times New Roman"/>
          <w:sz w:val="28"/>
          <w:szCs w:val="28"/>
        </w:rPr>
      </w:pPr>
    </w:p>
    <w:p>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 xml:space="preserve">Приложение 1</w:t>
      </w:r>
    </w:p>
    <w:p>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к Положению</w:t>
      </w:r>
    </w:p>
    <w:p>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о муниципальном контроле</w:t>
      </w:r>
    </w:p>
    <w:p>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в сфере благоустройства</w:t>
      </w:r>
    </w:p>
    <w:p>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на территории городского округа -</w:t>
      </w:r>
    </w:p>
    <w:p>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города Барнаула Алтайского края</w:t>
      </w:r>
    </w:p>
    <w:p>
      <w:pPr>
        <w:pStyle w:val="ConsPlusNormal"/>
        <w:jc w:val="both"/>
        <w:rPr>
          <w:rFonts w:ascii="Times New Roman" w:hAnsi="Times New Roman" w:cs="Times New Roman"/>
          <w:sz w:val="28"/>
          <w:szCs w:val="28"/>
        </w:rPr>
      </w:pPr>
    </w:p>
    <w:p>
      <w:pPr>
        <w:pStyle w:val="ConsPlusTitle"/>
        <w:jc w:val="center"/>
        <w:rPr>
          <w:rFonts w:ascii="Times New Roman" w:hAnsi="Times New Roman" w:cs="Times New Roman"/>
          <w:sz w:val="28"/>
          <w:szCs w:val="28"/>
        </w:rPr>
      </w:pPr>
      <w:bookmarkStart w:id="1" w:name="P183"/>
      <w:bookmarkEnd w:id="1"/>
      <w:r>
        <w:rPr>
          <w:rFonts w:ascii="Times New Roman" w:hAnsi="Times New Roman" w:cs="Times New Roman"/>
          <w:sz w:val="28"/>
          <w:szCs w:val="28"/>
        </w:rPr>
        <w:t xml:space="preserve">КЛЮЧЕВЫЕ ПОКАЗАТЕЛИ</w:t>
      </w:r>
    </w:p>
    <w:p>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МУНИЦИПАЛЬНОГО КОНТРОЛЯ В СФЕРЕ БЛАГОУСТРОЙСТВА И ИХ ЦЕЛЕВЫЕ</w:t>
      </w:r>
    </w:p>
    <w:p>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ЗНАЧЕНИЯ, ИНДИКАТИВНЫЕ ПОКАЗАТЕЛИ МУНИЦИПАЛЬНОГО КОНТРОЛЯ</w:t>
      </w:r>
    </w:p>
    <w:p>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В СФЕРЕ БЛАГОУСТРОЙСТВА</w:t>
      </w:r>
    </w:p>
    <w:p>
      <w:pPr>
        <w:pStyle w:val="ConsPlusNormal"/>
        <w:jc w:val="both"/>
        <w:rPr>
          <w:rFonts w:ascii="Times New Roman" w:hAnsi="Times New Roman" w:cs="Times New Roman"/>
          <w:sz w:val="28"/>
          <w:szCs w:val="28"/>
        </w:rPr>
      </w:pPr>
    </w:p>
    <w:p>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 Ключевые показатели муниципального контроля в сфере благоустройства и их целевые значения:</w:t>
      </w:r>
    </w:p>
    <w:p>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доля устраненных нарушений из числа выявленных нарушений обязательных требований - 70%;</w:t>
      </w:r>
    </w:p>
    <w:p>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доля выполнения плана проведения плановых контрольных мероприятий на очередной календарный год - 100%;</w:t>
      </w:r>
    </w:p>
    <w:p>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доля обоснованных жалоб на действия (бездействие) контрольного органа и (или) его должностного лица при проведении контрольных мероприятий - 0%;</w:t>
      </w:r>
    </w:p>
    <w:p>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доля отмененных результатов контрольных мероприятий - 0%;</w:t>
      </w:r>
    </w:p>
    <w:p>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доля принятых административными комиссиями при администрации города Барнаула по районам города Барнаула постановлений о назначении административного наказания по материалам администраций районов города Барнаула - 95%;</w:t>
      </w:r>
    </w:p>
    <w:p>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доля отмененных </w:t>
      </w:r>
      <w:r>
        <w:rPr>
          <w:rFonts w:ascii="Times New Roman" w:hAnsi="Times New Roman" w:cs="Times New Roman"/>
          <w:sz w:val="28"/>
          <w:szCs w:val="28"/>
        </w:rPr>
        <w:t xml:space="preserve">в судебном порядке постановлений административных комиссий при администрации города Барнаула по районам города Барнаула по делам об административных правонарушениях</w:t>
      </w:r>
      <w:r>
        <w:rPr>
          <w:rFonts w:ascii="Times New Roman" w:hAnsi="Times New Roman" w:cs="Times New Roman"/>
          <w:sz w:val="28"/>
          <w:szCs w:val="28"/>
        </w:rPr>
        <w:t xml:space="preserve"> от общего количества таких постановлений, принятых административными комиссиями города Барнаула, за исключением постановлений, отмененных на основании </w:t>
      </w:r>
      <w:hyperlink r:id="rId40">
        <w:r>
          <w:rPr>
            <w:rFonts w:ascii="Times New Roman" w:hAnsi="Times New Roman" w:cs="Times New Roman"/>
            <w:color w:val="0000ff"/>
            <w:sz w:val="28"/>
            <w:szCs w:val="28"/>
          </w:rPr>
          <w:t xml:space="preserve">статей 2.7</w:t>
        </w:r>
      </w:hyperlink>
      <w:r>
        <w:rPr>
          <w:rFonts w:ascii="Times New Roman" w:hAnsi="Times New Roman" w:cs="Times New Roman"/>
          <w:sz w:val="28"/>
          <w:szCs w:val="28"/>
        </w:rPr>
        <w:t xml:space="preserve"> и </w:t>
      </w:r>
      <w:hyperlink r:id="rId41">
        <w:r>
          <w:rPr>
            <w:rFonts w:ascii="Times New Roman" w:hAnsi="Times New Roman" w:cs="Times New Roman"/>
            <w:color w:val="0000ff"/>
            <w:sz w:val="28"/>
            <w:szCs w:val="28"/>
          </w:rPr>
          <w:t xml:space="preserve">2.9</w:t>
        </w:r>
      </w:hyperlink>
      <w:r>
        <w:rPr>
          <w:rFonts w:ascii="Times New Roman" w:hAnsi="Times New Roman" w:cs="Times New Roman"/>
          <w:sz w:val="28"/>
          <w:szCs w:val="28"/>
        </w:rPr>
        <w:t xml:space="preserve"> Кодекса Российской Федерации об административных правонарушениях - 0%.</w:t>
      </w:r>
    </w:p>
    <w:p>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2. Индикативные показатели муниципального контроля в сфере благоустройства:</w:t>
      </w:r>
    </w:p>
    <w:p>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количество проведенных плановых контрольных мероприятий;</w:t>
      </w:r>
    </w:p>
    <w:p>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количество проведенных внеплановых контрольных мероприятий;</w:t>
      </w:r>
    </w:p>
    <w:p>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количество поступивших возражений в отношении акта контрольного мероприятия;</w:t>
      </w:r>
    </w:p>
    <w:p>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количество выданных предписаний об устранении нарушений обязательных требований;</w:t>
      </w:r>
    </w:p>
    <w:p>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количество устраненных нарушений обязательных требований.</w:t>
      </w:r>
    </w:p>
    <w:p>
      <w:pPr>
        <w:pStyle w:val="ConsPlusNormal"/>
        <w:jc w:val="both"/>
        <w:rPr>
          <w:rFonts w:ascii="Times New Roman" w:hAnsi="Times New Roman" w:cs="Times New Roman"/>
          <w:sz w:val="28"/>
          <w:szCs w:val="28"/>
        </w:rPr>
      </w:pPr>
    </w:p>
    <w:p>
      <w:pPr>
        <w:pStyle w:val="ConsPlusNormal"/>
        <w:jc w:val="both"/>
        <w:rPr>
          <w:rFonts w:ascii="Times New Roman" w:hAnsi="Times New Roman" w:cs="Times New Roman"/>
          <w:sz w:val="28"/>
          <w:szCs w:val="28"/>
        </w:rPr>
      </w:pPr>
    </w:p>
    <w:p>
      <w:pPr>
        <w:pStyle w:val="ConsPlusNormal"/>
        <w:jc w:val="both"/>
        <w:rPr>
          <w:rFonts w:ascii="Times New Roman" w:hAnsi="Times New Roman" w:cs="Times New Roman"/>
          <w:sz w:val="28"/>
          <w:szCs w:val="28"/>
        </w:rPr>
      </w:pPr>
    </w:p>
    <w:p>
      <w:pPr>
        <w:pStyle w:val="ConsPlusNormal"/>
        <w:jc w:val="both"/>
        <w:rPr>
          <w:rFonts w:ascii="Times New Roman" w:hAnsi="Times New Roman" w:cs="Times New Roman"/>
          <w:sz w:val="28"/>
          <w:szCs w:val="28"/>
        </w:rPr>
      </w:pPr>
    </w:p>
    <w:p>
      <w:pPr>
        <w:pStyle w:val="ConsPlusNormal"/>
        <w:jc w:val="both"/>
        <w:rPr>
          <w:rFonts w:ascii="Times New Roman" w:hAnsi="Times New Roman" w:cs="Times New Roman"/>
          <w:sz w:val="28"/>
          <w:szCs w:val="28"/>
        </w:rPr>
      </w:pPr>
    </w:p>
    <w:p>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 xml:space="preserve">Приложение 2</w:t>
      </w:r>
    </w:p>
    <w:p>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к Положению</w:t>
      </w:r>
    </w:p>
    <w:p>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о муниципальном контроле</w:t>
      </w:r>
    </w:p>
    <w:p>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в сфере благоустройства</w:t>
      </w:r>
    </w:p>
    <w:p>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на территории городского округа -</w:t>
      </w:r>
    </w:p>
    <w:p>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города Барнаула Алтайского края</w:t>
      </w:r>
    </w:p>
    <w:p>
      <w:pPr>
        <w:pStyle w:val="ConsPlusNormal"/>
        <w:jc w:val="both"/>
        <w:rPr>
          <w:rFonts w:ascii="Times New Roman" w:hAnsi="Times New Roman" w:cs="Times New Roman"/>
          <w:sz w:val="28"/>
          <w:szCs w:val="28"/>
        </w:rPr>
      </w:pPr>
    </w:p>
    <w:p>
      <w:pPr>
        <w:pStyle w:val="ConsPlusTitle"/>
        <w:jc w:val="center"/>
        <w:rPr>
          <w:rFonts w:ascii="Times New Roman" w:hAnsi="Times New Roman" w:cs="Times New Roman"/>
          <w:sz w:val="28"/>
          <w:szCs w:val="28"/>
        </w:rPr>
      </w:pPr>
      <w:bookmarkStart w:id="2" w:name="P214"/>
      <w:bookmarkEnd w:id="2"/>
      <w:r>
        <w:rPr>
          <w:rFonts w:ascii="Times New Roman" w:hAnsi="Times New Roman" w:cs="Times New Roman"/>
          <w:sz w:val="28"/>
          <w:szCs w:val="28"/>
        </w:rPr>
        <w:t xml:space="preserve">КРИТЕРИИ</w:t>
      </w:r>
    </w:p>
    <w:p>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ОТНЕСЕНИЯ ОБЪЕКТОВ КОНТРОЛЯ К КАТЕГОРИЯМ РИСКА ПРИЧИНЕНИЯ</w:t>
      </w:r>
    </w:p>
    <w:p>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ВРЕДА (УЩЕРБА) ПРИ ОСУЩЕСТВЛЕНИИ МУНИЦИПАЛЬНОГО КОНТРОЛЯ</w:t>
      </w:r>
    </w:p>
    <w:p>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В СФЕРЕ БЛАГОУСТРОЙСТВА</w:t>
      </w:r>
    </w:p>
    <w:p>
      <w:pPr>
        <w:pStyle w:val="ConsPlusNormal"/>
        <w:jc w:val="both"/>
        <w:rPr>
          <w:rFonts w:ascii="Times New Roman" w:hAnsi="Times New Roman" w:cs="Times New Roman"/>
          <w:sz w:val="28"/>
          <w:szCs w:val="28"/>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2" w:type="dxa"/>
          <w:top w:w="102" w:type="dxa"/>
          <w:right w:w="62" w:type="dxa"/>
          <w:bottom w:w="102" w:type="dxa"/>
        </w:tblCellMar>
        <w:tblLook w:val="0000" w:firstRow="0" w:lastRow="0" w:firstColumn="0" w:lastColumn="0" w:noHBand="0" w:noVBand="0"/>
      </w:tblPr>
      <w:tblGrid>
        <w:gridCol w:w="624"/>
        <w:gridCol w:w="6746"/>
        <w:gridCol w:w="1701"/>
      </w:tblGrid>
      <w:tr>
        <w:tc>
          <w:tcPr>
            <w:tcW w:w="624" w:type="dxa"/>
            <w:tcBorders>
              <w:top w:val="single" w:color="auto" w:sz="4" w:space="0"/>
              <w:bottom w:val="single" w:color="auto" w:sz="4" w:space="0"/>
            </w:tcBorders>
          </w:tcPr>
          <w:p>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N </w:t>
            </w:r>
            <w:r>
              <w:rPr>
                <w:rFonts w:ascii="Times New Roman" w:hAnsi="Times New Roman" w:cs="Times New Roman"/>
                <w:sz w:val="28"/>
                <w:szCs w:val="28"/>
              </w:rPr>
              <w:t xml:space="preserve">п</w:t>
            </w:r>
            <w:r>
              <w:rPr>
                <w:rFonts w:ascii="Times New Roman" w:hAnsi="Times New Roman" w:cs="Times New Roman"/>
                <w:sz w:val="28"/>
                <w:szCs w:val="28"/>
              </w:rPr>
              <w:t xml:space="preserve">/</w:t>
            </w:r>
            <w:r>
              <w:rPr>
                <w:rFonts w:ascii="Times New Roman" w:hAnsi="Times New Roman" w:cs="Times New Roman"/>
                <w:sz w:val="28"/>
                <w:szCs w:val="28"/>
              </w:rPr>
              <w:t xml:space="preserve">п</w:t>
            </w:r>
          </w:p>
        </w:tc>
        <w:tc>
          <w:tcPr>
            <w:tcW w:w="6746" w:type="dxa"/>
            <w:tcBorders>
              <w:top w:val="single" w:color="auto" w:sz="4" w:space="0"/>
              <w:bottom w:val="single" w:color="auto" w:sz="4" w:space="0"/>
            </w:tcBorders>
          </w:tcPr>
          <w:p>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Критерии отнесения объектов контроля к категориям риска</w:t>
            </w:r>
          </w:p>
        </w:tc>
        <w:tc>
          <w:tcPr>
            <w:tcW w:w="1701" w:type="dxa"/>
            <w:tcBorders>
              <w:top w:val="single" w:color="auto" w:sz="4" w:space="0"/>
              <w:bottom w:val="single" w:color="auto" w:sz="4" w:space="0"/>
            </w:tcBorders>
          </w:tcPr>
          <w:p>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Категория риска</w:t>
            </w:r>
          </w:p>
        </w:tc>
      </w:tr>
      <w:tr>
        <w:tc>
          <w:tcPr>
            <w:tcW w:w="624" w:type="dxa"/>
            <w:vMerge w:val="restart"/>
            <w:tcBorders>
              <w:top w:val="single" w:color="auto" w:sz="4" w:space="0"/>
              <w:bottom w:val="single" w:color="auto" w:sz="4" w:space="0"/>
            </w:tcBorders>
          </w:tcPr>
          <w:p>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1.</w:t>
            </w:r>
          </w:p>
        </w:tc>
        <w:tc>
          <w:tcPr>
            <w:tcW w:w="6746" w:type="dxa"/>
            <w:tcBorders>
              <w:top w:val="single" w:color="auto" w:sz="4" w:space="0"/>
              <w:bottom w:val="none"/>
            </w:tcBorders>
          </w:tcPr>
          <w:p>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Несоблюдение в ходе контрольного мероприятия контролируемыми лицами обязательных требований муниципальных нормативных правовых актов города Барнаула в сфере благоустройства:</w:t>
            </w:r>
          </w:p>
        </w:tc>
        <w:tc>
          <w:tcPr>
            <w:tcW w:w="1701" w:type="dxa"/>
            <w:tcBorders>
              <w:top w:val="single" w:color="auto" w:sz="4" w:space="0"/>
              <w:bottom w:val="none"/>
            </w:tcBorders>
          </w:tcPr>
          <w:p>
            <w:pPr>
              <w:pStyle w:val="ConsPlusNormal"/>
              <w:rPr>
                <w:rFonts w:ascii="Times New Roman" w:hAnsi="Times New Roman" w:cs="Times New Roman"/>
                <w:sz w:val="28"/>
                <w:szCs w:val="28"/>
              </w:rPr>
            </w:pPr>
          </w:p>
        </w:tc>
      </w:tr>
      <w:tr>
        <w:tblPrEx>
          <w:tblBorders>
            <w:insideH w:val="none" w:color="auto" w:sz="0" w:space="0"/>
          </w:tblBorders>
        </w:tblPrEx>
        <w:tc>
          <w:tcPr>
            <w:tcW w:w="624" w:type="dxa"/>
            <w:vMerge w:val="continue"/>
            <w:tcBorders>
              <w:top w:val="single" w:color="auto" w:sz="4" w:space="0"/>
              <w:bottom w:val="single" w:color="auto" w:sz="4" w:space="0"/>
            </w:tcBorders>
          </w:tcPr>
          <w:p>
            <w:pPr>
              <w:pStyle w:val="ConsPlusNormal"/>
              <w:rPr>
                <w:rFonts w:ascii="Times New Roman" w:hAnsi="Times New Roman" w:cs="Times New Roman"/>
                <w:sz w:val="28"/>
                <w:szCs w:val="28"/>
              </w:rPr>
            </w:pPr>
          </w:p>
        </w:tc>
        <w:tc>
          <w:tcPr>
            <w:tcW w:w="6746" w:type="dxa"/>
            <w:tcBorders>
              <w:top w:val="none"/>
              <w:bottom w:val="none"/>
            </w:tcBorders>
          </w:tcPr>
          <w:p>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а) наличие в течение календарного года, предшествующего году составления планов проведения плановых контрольных мероприятий на очередной календарный год, случаев причинения вреда жизни и здоровью физических лиц, имуществу третьих лиц в результате нарушения контролируемыми лицами обязательных требований муниципальных нормативных правовых актов города </w:t>
            </w:r>
            <w:r>
              <w:rPr>
                <w:rFonts w:ascii="Times New Roman" w:hAnsi="Times New Roman" w:cs="Times New Roman"/>
                <w:sz w:val="28"/>
                <w:szCs w:val="28"/>
              </w:rPr>
              <w:t xml:space="preserve">Барнаула в сфере благоустройства;</w:t>
            </w:r>
          </w:p>
        </w:tc>
        <w:tc>
          <w:tcPr>
            <w:tcW w:w="1701" w:type="dxa"/>
            <w:tcBorders>
              <w:top w:val="none"/>
              <w:bottom w:val="none"/>
            </w:tcBorders>
          </w:tcPr>
          <w:p>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чрезвычайно высокая</w:t>
            </w:r>
          </w:p>
        </w:tc>
      </w:tr>
      <w:tr>
        <w:tblPrEx>
          <w:tblBorders>
            <w:insideH w:val="none" w:color="auto" w:sz="0" w:space="0"/>
          </w:tblBorders>
        </w:tblPrEx>
        <w:tc>
          <w:tcPr>
            <w:tcW w:w="624" w:type="dxa"/>
            <w:vMerge w:val="continue"/>
            <w:tcBorders>
              <w:top w:val="single" w:color="auto" w:sz="4" w:space="0"/>
              <w:bottom w:val="single" w:color="auto" w:sz="4" w:space="0"/>
            </w:tcBorders>
          </w:tcPr>
          <w:p>
            <w:pPr>
              <w:pStyle w:val="ConsPlusNormal"/>
              <w:rPr>
                <w:rFonts w:ascii="Times New Roman" w:hAnsi="Times New Roman" w:cs="Times New Roman"/>
                <w:sz w:val="28"/>
                <w:szCs w:val="28"/>
              </w:rPr>
            </w:pPr>
          </w:p>
        </w:tc>
        <w:tc>
          <w:tcPr>
            <w:tcW w:w="6746" w:type="dxa"/>
            <w:tcBorders>
              <w:top w:val="none"/>
              <w:bottom w:val="none"/>
            </w:tcBorders>
          </w:tcPr>
          <w:p>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б) установление в течение календарного года, предшествующего году составления планов проведения плановых контрольных мероприятий на очередной календарный год, фактов несоблюдения контролируемым лицом обязательных требований муниципальных нормативных правовых актов города Барнаула в сфере благоустройства - вынесено предписание об устранении выявленных нарушений;</w:t>
            </w:r>
          </w:p>
          <w:p>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наличие в течение календарного года, предшествующего году составления планов проведения плановых контрольных мероприятий на очередной календарный год, случаев воспрепятствования контролируемыми лицами или их представителями доступу инспекторов на объект контроля;</w:t>
            </w:r>
          </w:p>
          <w:p>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наличие на дату принятия решения об отнесении объекта контроля к категории </w:t>
            </w:r>
            <w:r>
              <w:rPr>
                <w:rFonts w:ascii="Times New Roman" w:hAnsi="Times New Roman" w:cs="Times New Roman"/>
                <w:sz w:val="28"/>
                <w:szCs w:val="28"/>
              </w:rPr>
              <w:t xml:space="preserve">риска</w:t>
            </w:r>
            <w:r>
              <w:rPr>
                <w:rFonts w:ascii="Times New Roman" w:hAnsi="Times New Roman" w:cs="Times New Roman"/>
                <w:sz w:val="28"/>
                <w:szCs w:val="28"/>
              </w:rPr>
              <w:t xml:space="preserve"> вступившего в силу в течение трех последних лет постановления о назначении административного наказания по объекту муниципального контроля, связанного с нарушением требований муниципальных нормативных правовых актов города Барнаула в сфере благоустройства;</w:t>
            </w:r>
          </w:p>
        </w:tc>
        <w:tc>
          <w:tcPr>
            <w:tcW w:w="1701" w:type="dxa"/>
            <w:tcBorders>
              <w:top w:val="none"/>
              <w:bottom w:val="none"/>
            </w:tcBorders>
          </w:tcPr>
          <w:p>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высокая</w:t>
            </w:r>
          </w:p>
        </w:tc>
      </w:tr>
      <w:tr>
        <w:tblPrEx>
          <w:tblBorders>
            <w:insideH w:val="none" w:color="auto" w:sz="0" w:space="0"/>
          </w:tblBorders>
        </w:tblPrEx>
        <w:tc>
          <w:tcPr>
            <w:tcW w:w="624" w:type="dxa"/>
            <w:vMerge w:val="continue"/>
            <w:tcBorders>
              <w:top w:val="single" w:color="auto" w:sz="4" w:space="0"/>
              <w:bottom w:val="single" w:color="auto" w:sz="4" w:space="0"/>
            </w:tcBorders>
          </w:tcPr>
          <w:p>
            <w:pPr>
              <w:pStyle w:val="ConsPlusNormal"/>
              <w:rPr>
                <w:rFonts w:ascii="Times New Roman" w:hAnsi="Times New Roman" w:cs="Times New Roman"/>
                <w:sz w:val="28"/>
                <w:szCs w:val="28"/>
              </w:rPr>
            </w:pPr>
          </w:p>
        </w:tc>
        <w:tc>
          <w:tcPr>
            <w:tcW w:w="6746" w:type="dxa"/>
            <w:tcBorders>
              <w:top w:val="none"/>
              <w:bottom w:val="none"/>
            </w:tcBorders>
          </w:tcPr>
          <w:p>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в) наличие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 объявлено предостережение о недопустимости нарушения обязательных требований;</w:t>
            </w:r>
          </w:p>
        </w:tc>
        <w:tc>
          <w:tcPr>
            <w:tcW w:w="1701" w:type="dxa"/>
            <w:tcBorders>
              <w:top w:val="none"/>
              <w:bottom w:val="none"/>
            </w:tcBorders>
          </w:tcPr>
          <w:p>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средняя</w:t>
            </w:r>
          </w:p>
        </w:tc>
      </w:tr>
      <w:tr>
        <w:tc>
          <w:tcPr>
            <w:tcW w:w="624" w:type="dxa"/>
            <w:vMerge w:val="continue"/>
            <w:tcBorders>
              <w:top w:val="single" w:color="auto" w:sz="4" w:space="0"/>
              <w:bottom w:val="single" w:color="auto" w:sz="4" w:space="0"/>
            </w:tcBorders>
          </w:tcPr>
          <w:p>
            <w:pPr>
              <w:pStyle w:val="ConsPlusNormal"/>
              <w:rPr>
                <w:rFonts w:ascii="Times New Roman" w:hAnsi="Times New Roman" w:cs="Times New Roman"/>
                <w:sz w:val="28"/>
                <w:szCs w:val="28"/>
              </w:rPr>
            </w:pPr>
          </w:p>
        </w:tc>
        <w:tc>
          <w:tcPr>
            <w:tcW w:w="6746" w:type="dxa"/>
            <w:tcBorders>
              <w:top w:val="none"/>
              <w:bottom w:val="single" w:color="auto" w:sz="4" w:space="0"/>
            </w:tcBorders>
          </w:tcPr>
          <w:p>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г) установление фактов соблюдения контролируемым лицом обязательных требований муниципальных нормативных правовых актов города Барнаула в сфере благоустройства - отсутствие нарушений</w:t>
            </w:r>
          </w:p>
        </w:tc>
        <w:tc>
          <w:tcPr>
            <w:tcW w:w="1701" w:type="dxa"/>
            <w:tcBorders>
              <w:top w:val="none"/>
              <w:bottom w:val="single" w:color="auto" w:sz="4" w:space="0"/>
            </w:tcBorders>
          </w:tcPr>
          <w:p>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низкая</w:t>
            </w:r>
          </w:p>
        </w:tc>
      </w:tr>
      <w:tr>
        <w:tc>
          <w:tcPr>
            <w:tcW w:w="624" w:type="dxa"/>
            <w:vMerge w:val="restart"/>
            <w:tcBorders>
              <w:top w:val="single" w:color="auto" w:sz="4" w:space="0"/>
              <w:bottom w:val="single" w:color="auto" w:sz="4" w:space="0"/>
            </w:tcBorders>
          </w:tcPr>
          <w:p>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2.</w:t>
            </w:r>
          </w:p>
        </w:tc>
        <w:tc>
          <w:tcPr>
            <w:tcW w:w="6746" w:type="dxa"/>
            <w:tcBorders>
              <w:top w:val="single" w:color="auto" w:sz="4" w:space="0"/>
              <w:bottom w:val="none"/>
            </w:tcBorders>
          </w:tcPr>
          <w:p>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Проведение контрольных мероприятий в отношении контролируемых лиц:</w:t>
            </w:r>
          </w:p>
        </w:tc>
        <w:tc>
          <w:tcPr>
            <w:tcW w:w="1701" w:type="dxa"/>
            <w:tcBorders>
              <w:top w:val="single" w:color="auto" w:sz="4" w:space="0"/>
              <w:bottom w:val="none"/>
            </w:tcBorders>
          </w:tcPr>
          <w:p>
            <w:pPr>
              <w:pStyle w:val="ConsPlusNormal"/>
              <w:rPr>
                <w:rFonts w:ascii="Times New Roman" w:hAnsi="Times New Roman" w:cs="Times New Roman"/>
                <w:sz w:val="28"/>
                <w:szCs w:val="28"/>
              </w:rPr>
            </w:pPr>
          </w:p>
        </w:tc>
      </w:tr>
      <w:tr>
        <w:tblPrEx>
          <w:tblBorders>
            <w:insideH w:val="none" w:color="auto" w:sz="0" w:space="0"/>
          </w:tblBorders>
        </w:tblPrEx>
        <w:tc>
          <w:tcPr>
            <w:tcW w:w="624" w:type="dxa"/>
            <w:vMerge w:val="continue"/>
            <w:tcBorders>
              <w:top w:val="single" w:color="auto" w:sz="4" w:space="0"/>
              <w:bottom w:val="single" w:color="auto" w:sz="4" w:space="0"/>
            </w:tcBorders>
          </w:tcPr>
          <w:p>
            <w:pPr>
              <w:pStyle w:val="ConsPlusNormal"/>
              <w:rPr>
                <w:rFonts w:ascii="Times New Roman" w:hAnsi="Times New Roman" w:cs="Times New Roman"/>
                <w:sz w:val="28"/>
                <w:szCs w:val="28"/>
              </w:rPr>
            </w:pPr>
          </w:p>
        </w:tc>
        <w:tc>
          <w:tcPr>
            <w:tcW w:w="6746" w:type="dxa"/>
            <w:tcBorders>
              <w:top w:val="none"/>
              <w:bottom w:val="none"/>
            </w:tcBorders>
          </w:tcPr>
          <w:p>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а) ранее в отношении контролируемого лица контрольные мероприятия - не проводились;</w:t>
            </w:r>
          </w:p>
        </w:tc>
        <w:tc>
          <w:tcPr>
            <w:tcW w:w="1701" w:type="dxa"/>
            <w:tcBorders>
              <w:top w:val="none"/>
              <w:bottom w:val="none"/>
            </w:tcBorders>
          </w:tcPr>
          <w:p>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высокая</w:t>
            </w:r>
          </w:p>
        </w:tc>
      </w:tr>
      <w:tr>
        <w:tblPrEx>
          <w:tblBorders>
            <w:insideH w:val="none" w:color="auto" w:sz="0" w:space="0"/>
          </w:tblBorders>
        </w:tblPrEx>
        <w:tc>
          <w:tcPr>
            <w:tcW w:w="624" w:type="dxa"/>
            <w:vMerge w:val="continue"/>
            <w:tcBorders>
              <w:top w:val="single" w:color="auto" w:sz="4" w:space="0"/>
              <w:bottom w:val="single" w:color="auto" w:sz="4" w:space="0"/>
            </w:tcBorders>
          </w:tcPr>
          <w:p>
            <w:pPr>
              <w:pStyle w:val="ConsPlusNormal"/>
              <w:rPr>
                <w:rFonts w:ascii="Times New Roman" w:hAnsi="Times New Roman" w:cs="Times New Roman"/>
                <w:sz w:val="28"/>
                <w:szCs w:val="28"/>
              </w:rPr>
            </w:pPr>
          </w:p>
        </w:tc>
        <w:tc>
          <w:tcPr>
            <w:tcW w:w="6746" w:type="dxa"/>
            <w:tcBorders>
              <w:top w:val="none"/>
              <w:bottom w:val="none"/>
            </w:tcBorders>
          </w:tcPr>
          <w:p>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б) последнее контрольное мероприятие в отношении контролируемого лица проведено - более трех лет назад;</w:t>
            </w:r>
          </w:p>
        </w:tc>
        <w:tc>
          <w:tcPr>
            <w:tcW w:w="1701" w:type="dxa"/>
            <w:tcBorders>
              <w:top w:val="none"/>
              <w:bottom w:val="none"/>
            </w:tcBorders>
          </w:tcPr>
          <w:p>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средняя</w:t>
            </w:r>
          </w:p>
        </w:tc>
      </w:tr>
      <w:tr>
        <w:tc>
          <w:tcPr>
            <w:tcW w:w="624" w:type="dxa"/>
            <w:vMerge w:val="continue"/>
            <w:tcBorders>
              <w:top w:val="single" w:color="auto" w:sz="4" w:space="0"/>
              <w:bottom w:val="single" w:color="auto" w:sz="4" w:space="0"/>
            </w:tcBorders>
          </w:tcPr>
          <w:p>
            <w:pPr>
              <w:pStyle w:val="ConsPlusNormal"/>
              <w:rPr>
                <w:rFonts w:ascii="Times New Roman" w:hAnsi="Times New Roman" w:cs="Times New Roman"/>
                <w:sz w:val="28"/>
                <w:szCs w:val="28"/>
              </w:rPr>
            </w:pPr>
          </w:p>
        </w:tc>
        <w:tc>
          <w:tcPr>
            <w:tcW w:w="6746" w:type="dxa"/>
            <w:tcBorders>
              <w:top w:val="none"/>
              <w:bottom w:val="single" w:color="auto" w:sz="4" w:space="0"/>
            </w:tcBorders>
          </w:tcPr>
          <w:p>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в) последнее контрольное мероприятие в отношении контролируемого лица проведено - в течение последних трех лет</w:t>
            </w:r>
          </w:p>
        </w:tc>
        <w:tc>
          <w:tcPr>
            <w:tcW w:w="1701" w:type="dxa"/>
            <w:tcBorders>
              <w:top w:val="none"/>
              <w:bottom w:val="single" w:color="auto" w:sz="4" w:space="0"/>
            </w:tcBorders>
          </w:tcPr>
          <w:p>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низкая</w:t>
            </w:r>
          </w:p>
        </w:tc>
      </w:tr>
      <w:tr>
        <w:tc>
          <w:tcPr>
            <w:tcW w:w="624" w:type="dxa"/>
            <w:vMerge w:val="restart"/>
            <w:tcBorders>
              <w:top w:val="single" w:color="auto" w:sz="4" w:space="0"/>
              <w:bottom w:val="single" w:color="auto" w:sz="4" w:space="0"/>
            </w:tcBorders>
          </w:tcPr>
          <w:p>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3.</w:t>
            </w:r>
          </w:p>
        </w:tc>
        <w:tc>
          <w:tcPr>
            <w:tcW w:w="6746" w:type="dxa"/>
            <w:tcBorders>
              <w:top w:val="single" w:color="auto" w:sz="4" w:space="0"/>
              <w:bottom w:val="none"/>
            </w:tcBorders>
          </w:tcPr>
          <w:p>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Поступление обращений от граждан, организаций, органов государственной власти, органов местного самоуправления, информации от правоохранительных органов, из средств массовой информации, свидетельствующих о нарушении контролируемым лицом обязательных требований законодательства в сфере благоустройства:</w:t>
            </w:r>
          </w:p>
        </w:tc>
        <w:tc>
          <w:tcPr>
            <w:tcW w:w="1701" w:type="dxa"/>
            <w:tcBorders>
              <w:top w:val="single" w:color="auto" w:sz="4" w:space="0"/>
              <w:bottom w:val="none"/>
            </w:tcBorders>
          </w:tcPr>
          <w:p>
            <w:pPr>
              <w:pStyle w:val="ConsPlusNormal"/>
              <w:rPr>
                <w:rFonts w:ascii="Times New Roman" w:hAnsi="Times New Roman" w:cs="Times New Roman"/>
                <w:sz w:val="28"/>
                <w:szCs w:val="28"/>
              </w:rPr>
            </w:pPr>
          </w:p>
        </w:tc>
      </w:tr>
      <w:tr>
        <w:tblPrEx>
          <w:tblBorders>
            <w:insideH w:val="none" w:color="auto" w:sz="0" w:space="0"/>
          </w:tblBorders>
        </w:tblPrEx>
        <w:tc>
          <w:tcPr>
            <w:tcW w:w="624" w:type="dxa"/>
            <w:vMerge w:val="continue"/>
            <w:tcBorders>
              <w:top w:val="single" w:color="auto" w:sz="4" w:space="0"/>
              <w:bottom w:val="single" w:color="auto" w:sz="4" w:space="0"/>
            </w:tcBorders>
          </w:tcPr>
          <w:p>
            <w:pPr>
              <w:pStyle w:val="ConsPlusNormal"/>
              <w:rPr>
                <w:rFonts w:ascii="Times New Roman" w:hAnsi="Times New Roman" w:cs="Times New Roman"/>
                <w:sz w:val="28"/>
                <w:szCs w:val="28"/>
              </w:rPr>
            </w:pPr>
          </w:p>
        </w:tc>
        <w:tc>
          <w:tcPr>
            <w:tcW w:w="6746" w:type="dxa"/>
            <w:tcBorders>
              <w:top w:val="none"/>
              <w:bottom w:val="none"/>
            </w:tcBorders>
          </w:tcPr>
          <w:p>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а) в течение календарного года, предшествующего году составления планов проведения плановых контрольных мероприятий на очередной календарный год, поступило два и более обращения граждан, организаций, органов государственной власти, органов местного самоуправления, либо две и более информации от правоохранительных органов, из средств массовой информации, свидетельствующие о нарушении контролируемым лицом обязательных требований в сфере благоустройства;</w:t>
            </w:r>
          </w:p>
        </w:tc>
        <w:tc>
          <w:tcPr>
            <w:tcW w:w="1701" w:type="dxa"/>
            <w:tcBorders>
              <w:top w:val="none"/>
              <w:bottom w:val="single" w:color="auto" w:sz="4" w:space="0"/>
            </w:tcBorders>
          </w:tcPr>
          <w:p>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высокая</w:t>
            </w:r>
          </w:p>
        </w:tc>
      </w:tr>
      <w:tr>
        <w:tblPrEx>
          <w:tblBorders>
            <w:insideH w:val="none" w:color="auto" w:sz="0" w:space="0"/>
          </w:tblBorders>
        </w:tblPrEx>
        <w:tc>
          <w:tcPr>
            <w:tcW w:w="624" w:type="dxa"/>
            <w:vMerge w:val="continue"/>
            <w:tcBorders>
              <w:top w:val="single" w:color="auto" w:sz="4" w:space="0"/>
              <w:bottom w:val="single" w:color="auto" w:sz="4" w:space="0"/>
            </w:tcBorders>
          </w:tcPr>
          <w:p>
            <w:pPr>
              <w:pStyle w:val="ConsPlusNormal"/>
              <w:rPr>
                <w:rFonts w:ascii="Times New Roman" w:hAnsi="Times New Roman" w:cs="Times New Roman"/>
                <w:sz w:val="28"/>
                <w:szCs w:val="28"/>
              </w:rPr>
            </w:pPr>
          </w:p>
        </w:tc>
        <w:tc>
          <w:tcPr>
            <w:tcW w:w="6746" w:type="dxa"/>
            <w:tcBorders>
              <w:top w:val="none"/>
              <w:bottom w:val="none"/>
            </w:tcBorders>
          </w:tcPr>
          <w:p>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б) в течение календарного года, предшествующего году составления планов проведения плановых контрольных мероприятий на очередной календарный год, поступило одно обращение гражданина, организации, органов государственной власти, органов местного самоуправления, информация от правоохранительных органов, из средств массовой информации о нарушении контролируемым лицом обязательных требований в сфере благоустройства;</w:t>
            </w:r>
          </w:p>
        </w:tc>
        <w:tc>
          <w:tcPr>
            <w:tcW w:w="1701" w:type="dxa"/>
            <w:tcBorders>
              <w:top w:val="single" w:color="auto" w:sz="4" w:space="0"/>
              <w:bottom w:val="none"/>
            </w:tcBorders>
          </w:tcPr>
          <w:p>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средняя</w:t>
            </w:r>
          </w:p>
        </w:tc>
      </w:tr>
      <w:tr>
        <w:tblPrEx>
          <w:tblBorders>
            <w:insideH w:val="none" w:color="auto" w:sz="0" w:space="0"/>
          </w:tblBorders>
        </w:tblPrEx>
        <w:tc>
          <w:tcPr>
            <w:tcW w:w="624" w:type="dxa"/>
            <w:vMerge w:val="continue"/>
            <w:tcBorders>
              <w:top w:val="single" w:color="auto" w:sz="4" w:space="0"/>
              <w:bottom w:val="single" w:color="auto" w:sz="4" w:space="0"/>
            </w:tcBorders>
          </w:tcPr>
          <w:p>
            <w:pPr>
              <w:pStyle w:val="ConsPlusNormal"/>
              <w:rPr>
                <w:rFonts w:ascii="Times New Roman" w:hAnsi="Times New Roman" w:cs="Times New Roman"/>
                <w:sz w:val="28"/>
                <w:szCs w:val="28"/>
              </w:rPr>
            </w:pPr>
          </w:p>
        </w:tc>
        <w:tc>
          <w:tcPr>
            <w:tcW w:w="6746" w:type="dxa"/>
            <w:tcBorders>
              <w:top w:val="none"/>
              <w:bottom w:val="single" w:color="auto" w:sz="4" w:space="0"/>
            </w:tcBorders>
          </w:tcPr>
          <w:p>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в) в течение календарного года, предшествующего году составления планов проведения плановых контрольных мероприятий на очередной календарный год, не поступало обращений граждан, организаций, органов государственной власти, органов местного самоуправления, информации от правоохранительных органов, из средств массовой информации, свидетельствующих о нарушении контролируемым лицом обязательных требований в сфере </w:t>
            </w:r>
            <w:r>
              <w:rPr>
                <w:rFonts w:ascii="Times New Roman" w:hAnsi="Times New Roman" w:cs="Times New Roman"/>
                <w:sz w:val="28"/>
                <w:szCs w:val="28"/>
              </w:rPr>
              <w:t xml:space="preserve">благоустройства</w:t>
            </w:r>
          </w:p>
        </w:tc>
        <w:tc>
          <w:tcPr>
            <w:tcW w:w="1701" w:type="dxa"/>
            <w:tcBorders>
              <w:top w:val="none"/>
              <w:bottom w:val="single" w:color="auto" w:sz="4" w:space="0"/>
            </w:tcBorders>
          </w:tcPr>
          <w:p>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низкая</w:t>
            </w:r>
          </w:p>
        </w:tc>
      </w:tr>
    </w:tbl>
    <w:p>
      <w:pPr>
        <w:pStyle w:val="ConsPlusNormal"/>
        <w:jc w:val="both"/>
        <w:rPr>
          <w:rFonts w:ascii="Times New Roman" w:hAnsi="Times New Roman" w:cs="Times New Roman"/>
          <w:sz w:val="28"/>
          <w:szCs w:val="28"/>
        </w:rPr>
      </w:pPr>
    </w:p>
    <w:p>
      <w:pPr>
        <w:pStyle w:val="ConsPlusNormal"/>
        <w:jc w:val="both"/>
        <w:rPr>
          <w:rFonts w:ascii="Times New Roman" w:hAnsi="Times New Roman" w:cs="Times New Roman"/>
          <w:sz w:val="28"/>
          <w:szCs w:val="28"/>
        </w:rPr>
      </w:pPr>
    </w:p>
    <w:p>
      <w:pPr>
        <w:pStyle w:val="ConsPlusNormal"/>
        <w:jc w:val="both"/>
        <w:rPr>
          <w:rFonts w:ascii="Times New Roman" w:hAnsi="Times New Roman" w:cs="Times New Roman"/>
          <w:sz w:val="28"/>
          <w:szCs w:val="28"/>
        </w:rPr>
      </w:pPr>
    </w:p>
    <w:p>
      <w:pPr>
        <w:pStyle w:val="ConsPlusNormal"/>
        <w:jc w:val="both"/>
        <w:rPr>
          <w:rFonts w:ascii="Times New Roman" w:hAnsi="Times New Roman" w:cs="Times New Roman"/>
          <w:sz w:val="28"/>
          <w:szCs w:val="28"/>
        </w:rPr>
      </w:pPr>
    </w:p>
    <w:p>
      <w:pPr>
        <w:pStyle w:val="ConsPlusNormal"/>
        <w:jc w:val="both"/>
        <w:rPr>
          <w:rFonts w:ascii="Times New Roman" w:hAnsi="Times New Roman" w:cs="Times New Roman"/>
          <w:sz w:val="28"/>
          <w:szCs w:val="28"/>
        </w:rPr>
      </w:pPr>
    </w:p>
    <w:p>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 xml:space="preserve">Приложение 3</w:t>
      </w:r>
    </w:p>
    <w:p>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к Положению</w:t>
      </w:r>
    </w:p>
    <w:p>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о муниципальном контроле</w:t>
      </w:r>
    </w:p>
    <w:p>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в сфере благоустройства</w:t>
      </w:r>
    </w:p>
    <w:p>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на территории городского округа -</w:t>
      </w:r>
    </w:p>
    <w:p>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города Барнаула Алтайского края</w:t>
      </w:r>
    </w:p>
    <w:p>
      <w:pPr>
        <w:pStyle w:val="ConsPlusNormal"/>
        <w:jc w:val="both"/>
        <w:rPr>
          <w:rFonts w:ascii="Times New Roman" w:hAnsi="Times New Roman" w:cs="Times New Roman"/>
          <w:sz w:val="28"/>
          <w:szCs w:val="28"/>
        </w:rPr>
      </w:pPr>
    </w:p>
    <w:p>
      <w:pPr>
        <w:pStyle w:val="ConsPlusTitle"/>
        <w:jc w:val="center"/>
        <w:rPr>
          <w:rFonts w:ascii="Times New Roman" w:hAnsi="Times New Roman" w:cs="Times New Roman"/>
          <w:sz w:val="28"/>
          <w:szCs w:val="28"/>
        </w:rPr>
      </w:pPr>
      <w:bookmarkStart w:id="3" w:name="P265"/>
      <w:bookmarkEnd w:id="3"/>
      <w:r>
        <w:rPr>
          <w:rFonts w:ascii="Times New Roman" w:hAnsi="Times New Roman" w:cs="Times New Roman"/>
          <w:sz w:val="28"/>
          <w:szCs w:val="28"/>
        </w:rPr>
        <w:t xml:space="preserve">ИНДИКАТОР</w:t>
      </w:r>
    </w:p>
    <w:p>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РИСКА НАРУШЕНИЯ ОБЯЗАТЕЛЬНЫХ ТРЕБОВАНИЙ, ПРОВЕРЯЕМЫХ</w:t>
      </w:r>
    </w:p>
    <w:p>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В РАМКАХ ОСУЩЕСТВЛЕНИЯ МУНИЦИПАЛЬНОГО КОНТРОЛЯ В СФЕРЕ</w:t>
      </w:r>
    </w:p>
    <w:p>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БЛАГОУСТРОЙСТВА</w:t>
      </w:r>
    </w:p>
    <w:p>
      <w:pPr>
        <w:pStyle w:val="ConsPlusNormal"/>
        <w:jc w:val="both"/>
        <w:rPr>
          <w:rFonts w:ascii="Times New Roman" w:hAnsi="Times New Roman" w:cs="Times New Roman"/>
          <w:sz w:val="28"/>
          <w:szCs w:val="28"/>
        </w:rPr>
      </w:pPr>
    </w:p>
    <w:p>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Неоднократное поступление в контрольный орган от органов государственной власти, органов местного самоуправления, юридических лиц, общественных объединений, граждан, из средств массовой информации, информационно-телекоммуникационной сети "Интернет" сведений, которые могут свидетельствовать о наличии нарушений контролируемыми лицами обязательных требований муниципальных нормативных правовых актов города Барнаула в сфере благоустройства.</w:t>
      </w:r>
    </w:p>
    <w:p>
      <w:pPr>
        <w:pStyle w:val="ConsPlusNormal"/>
        <w:jc w:val="both"/>
        <w:rPr>
          <w:rFonts w:ascii="Times New Roman" w:hAnsi="Times New Roman" w:cs="Times New Roman"/>
          <w:sz w:val="28"/>
          <w:szCs w:val="28"/>
        </w:rPr>
      </w:pPr>
    </w:p>
    <w:p>
      <w:pPr>
        <w:pStyle w:val="ConsPlusNormal"/>
        <w:jc w:val="both"/>
        <w:rPr>
          <w:rFonts w:ascii="Times New Roman" w:hAnsi="Times New Roman" w:cs="Times New Roman"/>
          <w:sz w:val="28"/>
          <w:szCs w:val="28"/>
        </w:rPr>
      </w:pPr>
    </w:p>
    <w:p>
      <w:pPr>
        <w:pStyle w:val="ConsPlusNormal"/>
        <w:pBdr>
          <w:bottom w:val="single" w:color="auto" w:sz="6" w:space="0"/>
        </w:pBdr>
        <w:spacing w:before="100" w:after="100"/>
        <w:jc w:val="both"/>
        <w:rPr>
          <w:rFonts w:ascii="Times New Roman" w:hAnsi="Times New Roman" w:cs="Times New Roman"/>
          <w:sz w:val="28"/>
          <w:szCs w:val="28"/>
        </w:rPr>
      </w:pPr>
    </w:p>
    <w:p>
      <w:pPr>
        <w:rPr>
          <w:rFonts w:ascii="Times New Roman" w:hAnsi="Times New Roman" w:cs="Times New Roman"/>
          <w:sz w:val="28"/>
          <w:szCs w:val="28"/>
        </w:rPr>
      </w:pP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font>
  <w:font w:name="Tahoma">
    <w:panose1 w:val="020B0604030504040204"/>
  </w:font>
  <w:font w:name="Calibri">
    <w:panose1 w:val="020F0502020204030204"/>
  </w:font>
  <w:font w:name="Cambria">
    <w:panose1 w:val="0204050305040603020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a" w:default="1">
    <w:name w:val="Normal"/>
    <w:qFormat/>
  </w:style>
  <w:style w:type="character" w:styleId="a0" w:default="1">
    <w:name w:val="Default Paragraph Font"/>
    <w:uiPriority w:val="1"/>
    <w:semiHidden/>
    <w:unhideWhenUsed/>
  </w:style>
  <w:style w:type="table" w:styleId="a1" w:default="1">
    <w:name w:val="Normal Table"/>
    <w:uiPriority w:val="99"/>
    <w:semiHidden/>
    <w:unhideWhenUsed/>
    <w:qFormat/>
    <w:tblPr>
      <w:tblInd w:w="0" w:type="dxa"/>
      <w:tblCellMar>
        <w:left w:w="108" w:type="dxa"/>
        <w:top w:w="0" w:type="dxa"/>
        <w:right w:w="108" w:type="dxa"/>
        <w:bottom w:w="0" w:type="dxa"/>
      </w:tblCellMar>
    </w:tblPr>
  </w:style>
  <w:style w:type="numbering" w:styleId="a2" w:default="1">
    <w:name w:val="No List"/>
    <w:uiPriority w:val="99"/>
    <w:semiHidden/>
    <w:unhideWhenUsed/>
  </w:style>
  <w:style w:type="paragraph" w:styleId="ConsPlusNormal" w:customStyle="1">
    <w:name w:val="ConsPlusNormal"/>
    <w:pPr>
      <w:widowControl w:val="off"/>
      <w:spacing w:after="0" w:line="240" w:lineRule="auto"/>
    </w:pPr>
    <w:rPr>
      <w:rFonts w:ascii="Calibri" w:hAnsi="Calibri" w:cs="Calibri" w:eastAsiaTheme="minorEastAsia"/>
      <w:lang w:eastAsia="ru-RU"/>
    </w:rPr>
  </w:style>
  <w:style w:type="paragraph" w:styleId="ConsPlusTitle" w:customStyle="1">
    <w:name w:val="ConsPlusTitle"/>
    <w:pPr>
      <w:widowControl w:val="off"/>
      <w:spacing w:after="0" w:line="240" w:lineRule="auto"/>
    </w:pPr>
    <w:rPr>
      <w:rFonts w:ascii="Calibri" w:hAnsi="Calibri" w:cs="Calibri" w:eastAsiaTheme="minorEastAsia"/>
      <w:b/>
      <w:lang w:eastAsia="ru-RU"/>
    </w:rPr>
  </w:style>
  <w:style w:type="paragraph" w:styleId="ConsPlusTitlePage" w:customStyle="1">
    <w:name w:val="ConsPlusTitlePage"/>
    <w:pPr>
      <w:widowControl w:val="off"/>
      <w:spacing w:after="0" w:line="240" w:lineRule="auto"/>
    </w:pPr>
    <w:rPr>
      <w:rFonts w:ascii="Tahoma" w:hAnsi="Tahoma" w:cs="Tahoma" w:eastAsiaTheme="minorEastAsia"/>
      <w:sz w:val="20"/>
      <w:lang w:eastAsia="ru-RU"/>
    </w:r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hyperlink" Target="https://login.consultant.ru/link/?req=doc&amp;base=RLAW016&amp;n=115050&amp;dst=100006" TargetMode="External"/><Relationship Id="rId7" Type="http://schemas.openxmlformats.org/officeDocument/2006/relationships/hyperlink" Target="https://login.consultant.ru/link/?req=doc&amp;base=RLAW016&amp;n=118440&amp;dst=100006" TargetMode="External"/><Relationship Id="rId8" Type="http://schemas.openxmlformats.org/officeDocument/2006/relationships/hyperlink" Target="https://login.consultant.ru/link/?req=doc&amp;base=RLAW016&amp;n=121414&amp;dst=100006" TargetMode="External"/><Relationship Id="rId9" Type="http://schemas.openxmlformats.org/officeDocument/2006/relationships/hyperlink" Target="https://login.consultant.ru/link/?req=doc&amp;base=RLAW016&amp;n=123991&amp;dst=100006" TargetMode="External"/><Relationship Id="rId10" Type="http://schemas.openxmlformats.org/officeDocument/2006/relationships/hyperlink" Target="https://login.consultant.ru/link/?req=doc&amp;base=RLAW016&amp;n=131777&amp;dst=100006" TargetMode="External"/><Relationship Id="rId11" Type="http://schemas.openxmlformats.org/officeDocument/2006/relationships/hyperlink" Target="https://login.consultant.ru/link/?req=doc&amp;base=LAW&amp;n=480999&amp;dst=1002" TargetMode="External"/><Relationship Id="rId12" Type="http://schemas.openxmlformats.org/officeDocument/2006/relationships/hyperlink" Target="https://login.consultant.ru/link/?req=doc&amp;base=LAW&amp;n=480999&amp;dst=793" TargetMode="External"/><Relationship Id="rId13" Type="http://schemas.openxmlformats.org/officeDocument/2006/relationships/hyperlink" Target="https://login.consultant.ru/link/?req=doc&amp;base=LAW&amp;n=495001&amp;dst=100088" TargetMode="External"/><Relationship Id="rId14" Type="http://schemas.openxmlformats.org/officeDocument/2006/relationships/hyperlink" Target="https://login.consultant.ru/link/?req=doc&amp;base=RLAW016&amp;n=129623&amp;dst=101178" TargetMode="External"/><Relationship Id="rId15" Type="http://schemas.openxmlformats.org/officeDocument/2006/relationships/hyperlink" Target="https://login.consultant.ru/link/?req=doc&amp;base=RLAW016&amp;n=131777&amp;dst=100007" TargetMode="External"/><Relationship Id="rId16" Type="http://schemas.openxmlformats.org/officeDocument/2006/relationships/hyperlink" Target="https://login.consultant.ru/link/?req=doc&amp;base=RLAW016&amp;n=131777&amp;dst=100009" TargetMode="External"/><Relationship Id="rId17" Type="http://schemas.openxmlformats.org/officeDocument/2006/relationships/hyperlink" Target="https://login.consultant.ru/link/?req=doc&amp;base=RLAW016&amp;n=124050&amp;dst=100016" TargetMode="External"/><Relationship Id="rId18" Type="http://schemas.openxmlformats.org/officeDocument/2006/relationships/hyperlink" Target="https://login.consultant.ru/link/?req=doc&amp;base=LAW&amp;n=495001&amp;dst=100315" TargetMode="External"/><Relationship Id="rId19" Type="http://schemas.openxmlformats.org/officeDocument/2006/relationships/hyperlink" Target="https://login.consultant.ru/link/?req=doc&amp;base=LAW&amp;n=495001&amp;dst=100178" TargetMode="External"/><Relationship Id="rId20" Type="http://schemas.openxmlformats.org/officeDocument/2006/relationships/hyperlink" Target="https://login.consultant.ru/link/?req=doc&amp;base=LAW&amp;n=495001" TargetMode="External"/><Relationship Id="rId21" Type="http://schemas.openxmlformats.org/officeDocument/2006/relationships/hyperlink" Target="https://login.consultant.ru/link/?req=doc&amp;base=LAW&amp;n=469887" TargetMode="External"/><Relationship Id="rId22" Type="http://schemas.openxmlformats.org/officeDocument/2006/relationships/hyperlink" Target="https://login.consultant.ru/link/?req=doc&amp;base=LAW&amp;n=495001&amp;dst=100512" TargetMode="External"/><Relationship Id="rId23" Type="http://schemas.openxmlformats.org/officeDocument/2006/relationships/hyperlink" Target="https://login.consultant.ru/link/?req=doc&amp;base=LAW&amp;n=495001&amp;dst=100547" TargetMode="External"/><Relationship Id="rId24" Type="http://schemas.openxmlformats.org/officeDocument/2006/relationships/hyperlink" Target="https://login.consultant.ru/link/?req=doc&amp;base=LAW&amp;n=495001&amp;dst=100553" TargetMode="External"/><Relationship Id="rId25" Type="http://schemas.openxmlformats.org/officeDocument/2006/relationships/hyperlink" Target="https://login.consultant.ru/link/?req=doc&amp;base=LAW&amp;n=494960" TargetMode="External"/><Relationship Id="rId26" Type="http://schemas.openxmlformats.org/officeDocument/2006/relationships/hyperlink" Target="https://login.consultant.ru/link/?req=doc&amp;base=LAW&amp;n=495001&amp;dst=101361" TargetMode="External"/><Relationship Id="rId27" Type="http://schemas.openxmlformats.org/officeDocument/2006/relationships/hyperlink" Target="https://login.consultant.ru/link/?req=doc&amp;base=LAW&amp;n=495001&amp;dst=101366" TargetMode="External"/><Relationship Id="rId28" Type="http://schemas.openxmlformats.org/officeDocument/2006/relationships/hyperlink" Target="https://login.consultant.ru/link/?req=doc&amp;base=LAW&amp;n=495001&amp;dst=101391" TargetMode="External"/><Relationship Id="rId29" Type="http://schemas.openxmlformats.org/officeDocument/2006/relationships/hyperlink" Target="https://login.consultant.ru/link/?req=doc&amp;base=LAW&amp;n=495001&amp;dst=101409" TargetMode="External"/><Relationship Id="rId30" Type="http://schemas.openxmlformats.org/officeDocument/2006/relationships/hyperlink" Target="https://login.consultant.ru/link/?req=doc&amp;base=LAW&amp;n=495001&amp;dst=101410" TargetMode="External"/><Relationship Id="rId31" Type="http://schemas.openxmlformats.org/officeDocument/2006/relationships/hyperlink" Target="https://login.consultant.ru/link/?req=doc&amp;base=LAW&amp;n=495001&amp;dst=100638" TargetMode="External"/><Relationship Id="rId32" Type="http://schemas.openxmlformats.org/officeDocument/2006/relationships/hyperlink" Target="https://login.consultant.ru/link/?req=doc&amp;base=LAW&amp;n=495001&amp;dst=101411" TargetMode="External"/><Relationship Id="rId33" Type="http://schemas.openxmlformats.org/officeDocument/2006/relationships/hyperlink" Target="https://login.consultant.ru/link/?req=doc&amp;base=LAW&amp;n=495001&amp;dst=101413" TargetMode="External"/><Relationship Id="rId34" Type="http://schemas.openxmlformats.org/officeDocument/2006/relationships/hyperlink" Target="https://login.consultant.ru/link/?req=doc&amp;base=LAW&amp;n=495001&amp;dst=100813" TargetMode="External"/><Relationship Id="rId35" Type="http://schemas.openxmlformats.org/officeDocument/2006/relationships/hyperlink" Target="https://login.consultant.ru/link/?req=doc&amp;base=LAW&amp;n=495001&amp;dst=101212" TargetMode="External"/><Relationship Id="rId36" Type="http://schemas.openxmlformats.org/officeDocument/2006/relationships/hyperlink" Target="https://login.consultant.ru/link/?req=doc&amp;base=LAW&amp;n=495001&amp;dst=100851" TargetMode="External"/><Relationship Id="rId37" Type="http://schemas.openxmlformats.org/officeDocument/2006/relationships/hyperlink" Target="https://login.consultant.ru/link/?req=doc&amp;base=LAW&amp;n=495001&amp;dst=100864" TargetMode="External"/><Relationship Id="rId38" Type="http://schemas.openxmlformats.org/officeDocument/2006/relationships/hyperlink" Target="https://login.consultant.ru/link/?req=doc&amp;base=LAW&amp;n=495001&amp;dst=100980" TargetMode="External"/><Relationship Id="rId39" Type="http://schemas.openxmlformats.org/officeDocument/2006/relationships/hyperlink" Target="https://login.consultant.ru/link/?req=doc&amp;base=LAW&amp;n=495001&amp;dst=101143" TargetMode="External"/><Relationship Id="rId40" Type="http://schemas.openxmlformats.org/officeDocument/2006/relationships/hyperlink" Target="https://login.consultant.ru/link/?req=doc&amp;base=LAW&amp;n=502642&amp;dst=100060" TargetMode="External"/><Relationship Id="rId41" Type="http://schemas.openxmlformats.org/officeDocument/2006/relationships/hyperlink" Target="https://login.consultant.ru/link/?req=doc&amp;base=LAW&amp;n=502642&amp;dst=100064" TargetMode="External"/></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Arial"/>
        <a:cs typeface="Arial"/>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Р7-Офис/2024.4.1.625</Application>
  <Characters>26694</Characters>
  <CharactersWithSpaces>31315</CharactersWithSpaces>
  <Company/>
  <DocSecurity>0</DocSecurity>
  <HyperlinksChanged>false</HyperlinksChanged>
  <Lines>222</Lines>
  <LinksUpToDate>false</LinksUpToDate>
  <Pages>16</Pages>
  <Paragraphs>62</Paragraphs>
  <ScaleCrop>false</ScaleCrop>
  <SharedDoc>false</SharedDoc>
  <Template>Normal</Template>
  <TotalTime>1</TotalTime>
  <Words>4683</Word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pressa</dc:creator>
  <cp:lastModifiedBy>pressa</cp:lastModifiedBy>
  <cp:revision>1</cp:revision>
  <dcterms:created xsi:type="dcterms:W3CDTF">2025-05-12T09:28:00Z</dcterms:created>
  <dcterms:modified xsi:type="dcterms:W3CDTF">2025-05-12T09:29:00Z</dcterms:modified>
</cp:coreProperties>
</file>