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города Барнаула утверждено обвинительное заключение по уголовному делу о повторном управлении транспортом в состоянии опьянения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города Барнаула утверждено обвинительное заключение по уголовному делу в отношении 31-летнего местного жителя по ч.1 ст.264.1 УК РФ (управление транспортным средством в состоянии опьянения лицом, подвергнутым администра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тивному наказанию или имеющим судимость).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сентябре 2024 года обвиняемый управлял автомобилем «Мазда», находясь в состоянии опьянения. Ранее водитель уже привлекался к ответственности, был лишен права управления, но должных выводов для себя не сделал.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Окончательную юридическую оценку произошедшему предстоит дать суду.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rFonts w:ascii="Roboto" w:hAnsi="Roboto" w:eastAsia="Roboto" w:cs="Roboto"/>
          <w:color w:val="000000"/>
          <w:sz w:val="24"/>
          <w:szCs w:val="24"/>
          <w:highlight w:val="none"/>
        </w:rPr>
      </w:pP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2024-12-23T08:22:42Z</dcterms:modified>
</cp:coreProperties>
</file>