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Прокуратурой Железнодорожного района города Барнаула утвержден обвинительный акт по уголовному делу по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ч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.1 ст.264.1 УК РФ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Прокуратурой Железнодорожного района города Барнаула утвержден обвинительный акт по уголовному делу по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.1 ст.264.1 УК РФ.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Установлено, что в марте 2025 года житель краевой столицы, употребив дома спиртные напитки, взял у своего знакомого автомобиль и, не уведомив его о том, что находится в состоянии алкогольного опьянения, стал перемещаться на нем по улицам города Барнаула.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Противоправные действия были пресечены. Обвиняемый ранее уже привлекался к ответственности за совершение аналогичных действий, но должных выводов для себя не сделал.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Уголовное дело для рассмотрения по существу направлено в суд.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санкцией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.1 ст.264.1 УК РФ обвиняемому грозит наказание в виде лишения свободы на срок до двух лет.​​​​​​​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2025-06-26T04:38:40Z</dcterms:modified>
</cp:coreProperties>
</file>