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0"/>
        <w:jc w:val="right"/>
        <w:spacing w:line="247" w:lineRule="auto"/>
        <w:rPr>
          <w:rFonts w:ascii="PT Astra Serif" w:hAnsi="PT Astra Serif"/>
          <w:szCs w:val="28"/>
          <w:lang w:val="en-US"/>
        </w:rPr>
      </w:pPr>
      <w:r>
        <w:rPr>
          <w:rFonts w:ascii="PT Astra Serif" w:hAnsi="PT Astra Serif"/>
          <w:szCs w:val="28"/>
        </w:rPr>
        <w:t xml:space="preserve">П</w:t>
      </w:r>
      <w:r>
        <w:rPr>
          <w:rFonts w:ascii="PT Astra Serif" w:hAnsi="PT Astra Serif"/>
          <w:szCs w:val="28"/>
        </w:rPr>
        <w:t xml:space="preserve">риложение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  <w:lang w:val="en-US"/>
        </w:rPr>
      </w:r>
      <w:r>
        <w:rPr>
          <w:rFonts w:ascii="PT Astra Serif" w:hAnsi="PT Astra Serif"/>
          <w:szCs w:val="28"/>
          <w:lang w:val="en-US"/>
        </w:rPr>
      </w:r>
    </w:p>
    <w:p>
      <w:pPr>
        <w:pStyle w:val="864"/>
        <w:jc w:val="center"/>
        <w:spacing w:line="247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ЗАКЛЮЧЕНИЕ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64"/>
        <w:jc w:val="center"/>
        <w:spacing w:line="247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 оценке регулирующего воздействия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864"/>
        <w:jc w:val="right"/>
        <w:spacing w:line="247" w:lineRule="auto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 xml:space="preserve">01.09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.202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5</w:t>
      </w:r>
      <w:r>
        <w:rPr>
          <w:rFonts w:ascii="PT Astra Serif" w:hAnsi="PT Astra Serif" w:cs="Times New Roman"/>
          <w:sz w:val="28"/>
          <w:szCs w:val="28"/>
          <w:u w:val="single"/>
        </w:rPr>
      </w:r>
      <w:r>
        <w:rPr>
          <w:rFonts w:ascii="PT Astra Serif" w:hAnsi="PT Astra Serif" w:cs="Times New Roman"/>
          <w:sz w:val="28"/>
          <w:szCs w:val="28"/>
          <w:u w:val="single"/>
        </w:rPr>
      </w:r>
    </w:p>
    <w:p>
      <w:pPr>
        <w:pStyle w:val="864"/>
        <w:jc w:val="right"/>
        <w:spacing w:line="247" w:lineRule="auto"/>
        <w:rPr>
          <w:rFonts w:ascii="PT Astra Serif" w:hAnsi="PT Astra Serif" w:cs="Times New Roman"/>
          <w:color w:val="000000"/>
          <w:sz w:val="28"/>
          <w:szCs w:val="28"/>
          <w:highlight w:val="yellow"/>
        </w:rPr>
      </w:pPr>
      <w:r>
        <w:rPr>
          <w:rFonts w:ascii="PT Astra Serif" w:hAnsi="PT Astra Serif" w:cs="Times New Roman"/>
          <w:color w:val="000000"/>
          <w:sz w:val="28"/>
          <w:szCs w:val="28"/>
          <w:highlight w:val="yellow"/>
        </w:rPr>
      </w:r>
      <w:r>
        <w:rPr>
          <w:rFonts w:ascii="PT Astra Serif" w:hAnsi="PT Astra Serif" w:cs="Times New Roman"/>
          <w:color w:val="000000"/>
          <w:sz w:val="28"/>
          <w:szCs w:val="28"/>
          <w:highlight w:val="yellow"/>
        </w:rPr>
      </w:r>
      <w:r>
        <w:rPr>
          <w:rFonts w:ascii="PT Astra Serif" w:hAnsi="PT Astra Serif" w:cs="Times New Roman"/>
          <w:color w:val="000000"/>
          <w:sz w:val="28"/>
          <w:szCs w:val="28"/>
          <w:highlight w:val="yellow"/>
        </w:rPr>
      </w:r>
    </w:p>
    <w:p>
      <w:pPr>
        <w:pStyle w:val="864"/>
        <w:ind w:firstLine="851"/>
        <w:jc w:val="both"/>
        <w:spacing w:line="247" w:lineRule="auto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begin"/>
      </w:r>
      <w:r>
        <w:rPr>
          <w:rFonts w:ascii="PT Astra Serif" w:hAnsi="PT Astra Serif" w:cs="Times New Roman"/>
          <w:color w:val="000000"/>
          <w:sz w:val="28"/>
          <w:szCs w:val="28"/>
        </w:rPr>
        <w:instrText xml:space="preserve"> HYPERLINK "consultantplus://off</w:instrText>
      </w:r>
      <w:r>
        <w:rPr>
          <w:rFonts w:ascii="PT Astra Serif" w:hAnsi="PT Astra Serif" w:cs="Times New Roman"/>
          <w:color w:val="000000"/>
          <w:sz w:val="28"/>
          <w:szCs w:val="28"/>
        </w:rPr>
        <w:instrText xml:space="preserve">line/ref=B6BD57CD5728BE3A9D6FEFBA1F6D0616983671E4332D05E367E0C0477696EF78FD4D83E2C8cDn1K" \o "Федеральный закон от 06.10.2003 N 131-ФЗ (ред. от 23.06.2014) \"Об общих принципах организации местного самоуправления в Российской Федерации\"{КонсультантПлюс}" </w:instrTex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separate"/>
      </w:r>
      <w:r>
        <w:rPr>
          <w:rStyle w:val="857"/>
          <w:rFonts w:ascii="PT Astra Serif" w:hAnsi="PT Astra Serif" w:eastAsia="Calibri"/>
          <w:color w:val="000000"/>
          <w:sz w:val="28"/>
          <w:szCs w:val="28"/>
          <w:u w:val="none"/>
        </w:rPr>
        <w:t xml:space="preserve">законом</w:t>
      </w:r>
      <w:r>
        <w:rPr>
          <w:rFonts w:ascii="PT Astra Serif" w:hAnsi="PT Astra Serif" w:cs="Times New Roman"/>
          <w:color w:val="000000"/>
          <w:sz w:val="28"/>
          <w:szCs w:val="28"/>
        </w:rPr>
        <w:fldChar w:fldCharType="end"/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от 06.10.2003 №131-ФЗ «Об общих принципах организации местного самоуправления в Российской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Федерации», законом Алтайского края от 10.11.2014 №90-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– закон Алтайского края от 10.11.2014 </w:t>
        <w:br/>
        <w:t xml:space="preserve">№90-ЗС), Положением о проведении оценки регулир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постановлением администрации города Барнаула от 23.09.2016 №1903 </w:t>
        <w:br/>
        <w:t xml:space="preserve">(далее – Положение),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рассмотрел проект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постановления администрации города </w:t>
        <w:br/>
        <w:t xml:space="preserve">«О внесении изменений и дополнений в приложение к постановлению администрации города от 17.10.2019 №1793 (в редакции постановления от 18.04.2024 №635)»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(далее – проект МНПА),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разработанный и направленный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для подготовки настоящего заключения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комитетом жилищно-коммунального хозяйства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города Барнаула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(далее – разработчик), и сообщает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следующее.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pStyle w:val="85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Проект МНПА и сводный отчет о проведении оценки регулирующего воздействия (далее – сводный отчет) направлены разработчиком для подготовки настоящего заключения впервые.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85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Представленный сводный отчет соответствует требованиям части 2 статьи </w:t>
        <w:br w:type="textWrapping" w:clear="all"/>
        <w:t xml:space="preserve">4 закона Алтайского края от 10.11.2014 №90-ЗС.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85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Форма, предусмотренная приложением 1 к Положению, при подготовке сводного отчета соблюдена. 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85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города.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85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Публичное обсуждение проекта МНПА и сводного отчета проводилось </w:t>
        <w:br w:type="textWrapping" w:clear="all"/>
        <w:t xml:space="preserve">в период с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30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07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.202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5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по 19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0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8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.202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5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jc w:val="both"/>
        <w:spacing w:line="247" w:lineRule="auto"/>
      </w:pPr>
      <w:r>
        <w:rPr>
          <w:rFonts w:ascii="PT Astra Serif" w:hAnsi="PT Astra Serif"/>
          <w:color w:val="000000"/>
          <w:szCs w:val="28"/>
        </w:rPr>
        <w:t xml:space="preserve">Извещения о начале публичного обсуждения в соответствии с частью 3 </w:t>
      </w:r>
      <w:r>
        <w:rPr>
          <w:rFonts w:ascii="PT Astra Serif" w:hAnsi="PT Astra Serif"/>
          <w:color w:val="000000"/>
          <w:szCs w:val="28"/>
        </w:rPr>
        <w:t xml:space="preserve">          </w:t>
      </w:r>
      <w:r>
        <w:rPr>
          <w:rFonts w:ascii="PT Astra Serif" w:hAnsi="PT Astra Serif"/>
          <w:color w:val="000000"/>
          <w:szCs w:val="28"/>
        </w:rPr>
        <w:t xml:space="preserve">статьи 5 закона Алтайского края от 10.11.2014 №90-ЗС были направлены</w:t>
      </w:r>
      <w:r>
        <w:rPr>
          <w:rFonts w:ascii="PT Astra Serif" w:hAnsi="PT Astra Serif"/>
          <w:color w:val="000000"/>
          <w:szCs w:val="28"/>
        </w:rPr>
        <w:t xml:space="preserve">: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Уполномоченному по защите прав предпринимателей в Алтайском крае, </w:t>
      </w:r>
      <w:r>
        <w:rPr>
          <w:rFonts w:ascii="PT Astra Serif" w:hAnsi="PT Astra Serif"/>
          <w:szCs w:val="28"/>
        </w:rPr>
        <w:t xml:space="preserve">Управлению Федеральной службы по надзору в сфере защиты прав потребителей и благополучия человека по Алтайскому краю, 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  <w:t xml:space="preserve">администрациям районов города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lang w:eastAsia="en-US"/>
        </w:rPr>
        <w:t xml:space="preserve">.</w:t>
      </w:r>
      <w:bookmarkStart w:id="0" w:name="undefined"/>
      <w:r>
        <w:rPr>
          <w:rFonts w:ascii="PT Astra Serif" w:hAnsi="PT Astra Serif"/>
        </w:rPr>
      </w:r>
      <w:bookmarkEnd w:id="0"/>
      <w:r>
        <w:rPr>
          <w:rFonts w:ascii="PT Astra Serif" w:hAnsi="PT Astra Serif"/>
          <w14:ligatures w14:val="none"/>
        </w:rPr>
      </w:r>
      <w:r/>
      <w:r>
        <w:rPr>
          <w:rFonts w:ascii="PT Astra Serif" w:hAnsi="PT Astra Serif"/>
          <w:szCs w:val="28"/>
        </w:rPr>
      </w:r>
    </w:p>
    <w:p>
      <w:pPr>
        <w:pStyle w:val="850"/>
        <w:contextualSpacing w:val="0"/>
        <w:ind w:firstLine="720"/>
        <w:jc w:val="both"/>
        <w:keepLines w:val="0"/>
        <w:spacing w:line="247" w:lineRule="auto"/>
        <w:widowControl w:val="off"/>
        <w:rPr>
          <w:rFonts w:ascii="PT Astra Serif" w:hAnsi="PT Astra Serif"/>
        </w:rPr>
        <w:suppressLineNumbers w:val="0"/>
      </w:pPr>
      <w:r>
        <w:rPr>
          <w:rFonts w:ascii="PT Astra Serif" w:hAnsi="PT Astra Serif"/>
          <w:szCs w:val="28"/>
        </w:rPr>
        <w:t xml:space="preserve">В течение </w:t>
      </w:r>
      <w:r>
        <w:rPr>
          <w:rFonts w:ascii="PT Astra Serif" w:hAnsi="PT Astra Serif"/>
          <w:szCs w:val="28"/>
        </w:rPr>
        <w:t xml:space="preserve">срока, предусмотренного для публичного обсуждения, в адрес разработчика предложения не поступали.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contextualSpacing w:val="0"/>
        <w:ind w:firstLine="720"/>
        <w:jc w:val="both"/>
        <w:keepLines w:val="0"/>
        <w:spacing w:line="247" w:lineRule="auto"/>
        <w:widowControl w:val="off"/>
        <w:rPr>
          <w:rFonts w:ascii="PT Astra Serif" w:hAnsi="PT Astra Serif"/>
        </w:rPr>
        <w:suppressLineNumbers w:val="0"/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  <w:t xml:space="preserve">По результатам проведения публичного обсуждения разработчиком было принято решение о доработке сводного отчета и направлении ответственному за подготовку заключения проекта МНПА и доработанного сводного отчета.</w:t>
      </w:r>
      <w:r>
        <w:rPr>
          <w:rFonts w:ascii="PT Astra Serif" w:hAnsi="PT Astra Serif"/>
          <w:szCs w:val="28"/>
        </w:rPr>
      </w:r>
      <w:r/>
    </w:p>
    <w:p>
      <w:pPr>
        <w:pStyle w:val="850"/>
        <w:contextualSpacing w:val="0"/>
        <w:ind w:firstLine="720"/>
        <w:jc w:val="both"/>
        <w:spacing w:line="247" w:lineRule="auto"/>
        <w:widowControl w:val="off"/>
        <w:rPr>
          <w:rFonts w:ascii="PT Astra Serif" w:hAnsi="PT Astra Serif"/>
          <w:szCs w:val="28"/>
        </w:rPr>
        <w:suppressLineNumbers w:val="0"/>
      </w:pPr>
      <w:r>
        <w:rPr>
          <w:rFonts w:ascii="PT Astra Serif" w:hAnsi="PT Astra Serif"/>
          <w:szCs w:val="28"/>
        </w:rPr>
        <w:t xml:space="preserve">В доработанный по результатам публ</w:t>
      </w:r>
      <w:r>
        <w:rPr>
          <w:rFonts w:ascii="PT Astra Serif" w:hAnsi="PT Astra Serif"/>
          <w:szCs w:val="28"/>
        </w:rPr>
        <w:t xml:space="preserve">ичного обсуждения сводный отчет разработчиком включены сведения о проведении публичного обсуждения, сроках его проведения.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Доработанный по результатам публичного обсуждения сводный отчет разработчиком размещен на официальном Интернет-сайте города Барнаула.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72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результатам рассмотрения впервые поступившего для подготовки заключения проекта МНПА и сводного отчета установлено, что при подготовке проекта МНПА разработчиком соблюден порядок проведения оценки регулирующего воздействия.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720"/>
        <w:jc w:val="both"/>
        <w:spacing w:line="247" w:lineRule="auto"/>
        <w:rPr>
          <w:rFonts w:ascii="PT Astra Serif" w:hAnsi="PT Astra Serif" w:eastAsia="Times New Roman"/>
          <w:color w:val="000000"/>
          <w:szCs w:val="28"/>
          <w:lang w:eastAsia="ru-RU"/>
        </w:rPr>
      </w:pPr>
      <w:r>
        <w:rPr>
          <w:rFonts w:ascii="PT Astra Serif" w:hAnsi="PT Astra Serif"/>
          <w:szCs w:val="28"/>
        </w:rPr>
        <w:t xml:space="preserve">На основе проведения оценки регулирующего воздействия проекта МНПА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 учетом информации, представленной раз</w:t>
      </w:r>
      <w:r>
        <w:rPr>
          <w:rFonts w:ascii="PT Astra Serif" w:hAnsi="PT Astra Serif"/>
          <w:szCs w:val="28"/>
        </w:rPr>
        <w:t xml:space="preserve">работчиком в сводном отчете,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положений, вводящих избыточные обязанности, запреты и ограничения для </w:t>
      </w:r>
      <w:r>
        <w:rPr>
          <w:rFonts w:ascii="PT Astra Serif" w:hAnsi="PT Astra Serif"/>
          <w:szCs w:val="28"/>
        </w:rPr>
        <w:t xml:space="preserve">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.</w:t>
      </w:r>
      <w:r>
        <w:rPr>
          <w:rFonts w:ascii="PT Astra Serif" w:hAnsi="PT Astra Serif" w:eastAsia="Times New Roman"/>
          <w:color w:val="000000"/>
          <w:szCs w:val="28"/>
          <w:lang w:eastAsia="ru-RU"/>
        </w:rPr>
        <w:t xml:space="preserve"> </w:t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  <w:r>
        <w:rPr>
          <w:rFonts w:ascii="PT Astra Serif" w:hAnsi="PT Astra Serif" w:eastAsia="Times New Roman"/>
          <w:color w:val="000000"/>
          <w:szCs w:val="28"/>
          <w:lang w:eastAsia="ru-RU"/>
        </w:rPr>
      </w:r>
    </w:p>
    <w:p>
      <w:pPr>
        <w:pStyle w:val="850"/>
        <w:ind w:firstLine="0"/>
        <w:jc w:val="both"/>
        <w:spacing w:line="247" w:lineRule="auto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</w:r>
      <w:r>
        <w:rPr>
          <w:rFonts w:ascii="PT Astra Serif" w:hAnsi="PT Astra Serif"/>
          <w:szCs w:val="28"/>
          <w:lang w:eastAsia="ru-RU"/>
        </w:rPr>
      </w:r>
      <w:r>
        <w:rPr>
          <w:rFonts w:ascii="PT Astra Serif" w:hAnsi="PT Astra Serif"/>
          <w:szCs w:val="28"/>
          <w:lang w:eastAsia="ru-RU"/>
        </w:rPr>
      </w:r>
    </w:p>
    <w:p>
      <w:pPr>
        <w:pStyle w:val="850"/>
        <w:ind w:firstLine="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Председатель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комитета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экономического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развития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инвестиционной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деятельности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0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администрации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города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Барнаула</w:t>
      </w:r>
      <w:r>
        <w:rPr>
          <w:rFonts w:ascii="PT Astra Serif" w:hAnsi="PT Astra Serif"/>
          <w:szCs w:val="28"/>
        </w:rPr>
        <w:t xml:space="preserve">                                           </w:t>
      </w:r>
      <w:r>
        <w:rPr>
          <w:rFonts w:ascii="PT Astra Serif" w:hAnsi="PT Astra Serif"/>
          <w:szCs w:val="28"/>
        </w:rPr>
        <w:t xml:space="preserve">               И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В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Кожевникова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0"/>
        <w:ind w:firstLine="0"/>
        <w:jc w:val="both"/>
        <w:spacing w:line="24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38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link w:val="704"/>
    <w:uiPriority w:val="35"/>
    <w:rPr>
      <w:b/>
      <w:bCs/>
      <w:color w:val="4f81bd" w:themeColor="accent1"/>
      <w:sz w:val="18"/>
      <w:szCs w:val="18"/>
    </w:rPr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ind w:firstLine="709"/>
    </w:pPr>
    <w:rPr>
      <w:sz w:val="28"/>
      <w:szCs w:val="24"/>
      <w:lang w:val="ru-RU" w:eastAsia="en-US" w:bidi="ar-SA"/>
    </w:rPr>
  </w:style>
  <w:style w:type="paragraph" w:styleId="851">
    <w:name w:val="Заголовок 1"/>
    <w:basedOn w:val="850"/>
    <w:next w:val="851"/>
    <w:link w:val="863"/>
    <w:uiPriority w:val="9"/>
    <w:qFormat/>
    <w:pPr>
      <w:ind w:firstLine="0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val="en-US" w:eastAsia="en-US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Текст выноски"/>
    <w:basedOn w:val="850"/>
    <w:next w:val="855"/>
    <w:link w:val="85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56">
    <w:name w:val="Текст выноски Знак"/>
    <w:next w:val="856"/>
    <w:link w:val="855"/>
    <w:uiPriority w:val="99"/>
    <w:semiHidden/>
    <w:rPr>
      <w:rFonts w:ascii="Tahoma" w:hAnsi="Tahoma" w:eastAsia="Calibri" w:cs="Times New Roman"/>
      <w:sz w:val="16"/>
      <w:szCs w:val="16"/>
      <w:lang w:val="en-US"/>
    </w:rPr>
  </w:style>
  <w:style w:type="character" w:styleId="857">
    <w:name w:val="Гиперссылка"/>
    <w:next w:val="857"/>
    <w:link w:val="850"/>
    <w:uiPriority w:val="99"/>
    <w:semiHidden/>
    <w:rPr>
      <w:color w:val="0000ff"/>
      <w:u w:val="single"/>
    </w:rPr>
  </w:style>
  <w:style w:type="paragraph" w:styleId="858">
    <w:name w:val="Стиль4"/>
    <w:basedOn w:val="850"/>
    <w:next w:val="858"/>
    <w:link w:val="850"/>
    <w:pPr>
      <w:ind w:firstLine="851"/>
      <w:jc w:val="both"/>
    </w:pPr>
    <w:rPr>
      <w:rFonts w:ascii="Courier New" w:hAnsi="Courier New" w:eastAsia="Times New Roman"/>
      <w:szCs w:val="20"/>
      <w:lang w:eastAsia="ru-RU"/>
    </w:rPr>
  </w:style>
  <w:style w:type="paragraph" w:styleId="859">
    <w:name w:val="Основной текст с отступом 2"/>
    <w:basedOn w:val="850"/>
    <w:next w:val="859"/>
    <w:link w:val="860"/>
    <w:semiHidden/>
    <w:pPr>
      <w:ind w:firstLine="720"/>
      <w:jc w:val="both"/>
    </w:pPr>
    <w:rPr>
      <w:rFonts w:eastAsia="Times New Roman"/>
      <w:lang w:val="en-US" w:eastAsia="en-US"/>
    </w:rPr>
  </w:style>
  <w:style w:type="character" w:styleId="860">
    <w:name w:val="Основной текст с отступом 2 Знак"/>
    <w:next w:val="860"/>
    <w:link w:val="859"/>
    <w:semiHidden/>
    <w:rPr>
      <w:rFonts w:eastAsia="Times New Roman"/>
      <w:sz w:val="28"/>
      <w:szCs w:val="24"/>
      <w:lang w:val="en-US" w:eastAsia="en-US"/>
    </w:rPr>
  </w:style>
  <w:style w:type="paragraph" w:styleId="861">
    <w:name w:val="Абзац списка"/>
    <w:basedOn w:val="850"/>
    <w:next w:val="861"/>
    <w:link w:val="850"/>
    <w:uiPriority w:val="34"/>
    <w:qFormat/>
    <w:pPr>
      <w:contextualSpacing/>
      <w:ind w:left="720" w:firstLine="0"/>
    </w:pPr>
    <w:rPr>
      <w:rFonts w:ascii="Calibri" w:hAnsi="Calibri"/>
      <w:sz w:val="22"/>
      <w:szCs w:val="22"/>
    </w:rPr>
  </w:style>
  <w:style w:type="character" w:styleId="862">
    <w:name w:val="apple-converted-space"/>
    <w:next w:val="862"/>
    <w:link w:val="850"/>
  </w:style>
  <w:style w:type="character" w:styleId="863">
    <w:name w:val="Заголовок 1 Знак"/>
    <w:next w:val="863"/>
    <w:link w:val="851"/>
    <w:uiPriority w:val="9"/>
    <w:rPr>
      <w:rFonts w:eastAsia="Times New Roman"/>
      <w:b/>
      <w:bCs/>
      <w:sz w:val="48"/>
      <w:szCs w:val="48"/>
    </w:rPr>
  </w:style>
  <w:style w:type="paragraph" w:styleId="864">
    <w:name w:val="ConsPlusNonformat"/>
    <w:next w:val="864"/>
    <w:link w:val="85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65">
    <w:name w:val="Заголовок статьи"/>
    <w:basedOn w:val="850"/>
    <w:next w:val="850"/>
    <w:link w:val="850"/>
    <w:uiPriority w:val="99"/>
    <w:pPr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866">
    <w:name w:val="Обычный (веб)"/>
    <w:basedOn w:val="850"/>
    <w:next w:val="866"/>
    <w:link w:val="850"/>
    <w:uiPriority w:val="99"/>
    <w:unhideWhenUsed/>
    <w:pPr>
      <w:ind w:firstLine="0"/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867">
    <w:name w:val="Рецензия"/>
    <w:next w:val="867"/>
    <w:link w:val="850"/>
    <w:hidden/>
    <w:uiPriority w:val="99"/>
    <w:semiHidden/>
    <w:rPr>
      <w:sz w:val="28"/>
      <w:szCs w:val="24"/>
      <w:lang w:val="ru-RU" w:eastAsia="en-US" w:bidi="ar-SA"/>
    </w:rPr>
  </w:style>
  <w:style w:type="paragraph" w:styleId="868">
    <w:name w:val="Верхний колонтитул"/>
    <w:basedOn w:val="850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9">
    <w:name w:val="Верхний колонтитул Знак"/>
    <w:next w:val="869"/>
    <w:link w:val="868"/>
    <w:uiPriority w:val="99"/>
    <w:rPr>
      <w:sz w:val="28"/>
      <w:szCs w:val="24"/>
      <w:lang w:eastAsia="en-US"/>
    </w:rPr>
  </w:style>
  <w:style w:type="paragraph" w:styleId="870">
    <w:name w:val="Нижний колонтитул"/>
    <w:basedOn w:val="850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1">
    <w:name w:val="Нижний колонтитул Знак"/>
    <w:next w:val="871"/>
    <w:link w:val="870"/>
    <w:uiPriority w:val="99"/>
    <w:rPr>
      <w:sz w:val="28"/>
      <w:szCs w:val="24"/>
      <w:lang w:eastAsia="en-US"/>
    </w:rPr>
  </w:style>
  <w:style w:type="paragraph" w:styleId="872">
    <w:name w:val="Основное меню (преемственное)"/>
    <w:basedOn w:val="850"/>
    <w:next w:val="850"/>
    <w:link w:val="850"/>
    <w:uiPriority w:val="99"/>
    <w:pPr>
      <w:ind w:firstLine="720"/>
      <w:jc w:val="both"/>
      <w:widowControl w:val="off"/>
    </w:pPr>
    <w:rPr>
      <w:rFonts w:ascii="Verdana" w:hAnsi="Verdana" w:eastAsia="Times New Roman" w:cs="Verdana"/>
      <w:sz w:val="22"/>
      <w:szCs w:val="22"/>
      <w:lang w:eastAsia="ru-RU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Body Text Indent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admn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aksenov.yi</cp:lastModifiedBy>
  <cp:revision>28</cp:revision>
  <dcterms:created xsi:type="dcterms:W3CDTF">2024-09-05T02:45:00Z</dcterms:created>
  <dcterms:modified xsi:type="dcterms:W3CDTF">2025-09-01T07:37:25Z</dcterms:modified>
  <cp:version>983040</cp:version>
</cp:coreProperties>
</file>