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31" w:rsidRDefault="008C7731" w:rsidP="008C77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  <w:u w:val="single"/>
        </w:rPr>
        <w:t>2019 год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proofErr w:type="gramStart"/>
      <w:r>
        <w:rPr>
          <w:rFonts w:ascii="Arial" w:hAnsi="Arial" w:cs="Arial"/>
          <w:color w:val="5B5B5B"/>
          <w:sz w:val="23"/>
          <w:szCs w:val="23"/>
        </w:rPr>
        <w:t>Работа по обеспечению своевременного и качественного исполнения указов Президента Российской Федерации (далее – указов) в администрации района ведется в соответствии с Указом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Федерации», Указом Губернатора Алтайского края от 29.05.2017 №63 «Об утверждении Порядка исполнения поручений и указаний Президента Российской Федерации в Алтайском крае», постановлением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администрации города от 04.08.2017 №1600 «Об утверждении Порядка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Федерации», распоряжением администрации района от 16.08.2017 №40 «Об организации исполнения поручений и указаний Президента Российской Федерации, Председателя Правительства Российской Федерации».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администрации района в настоящее время на исполнении находятся 6 правовых актов вышестоящих органов власти (2 постановления и 1 распоряжение Правительства Алтайского края, 3 правовых акта администрации города) и 1 План мероприятий, направленных на выполнение 10 указов Президента Российской Федерации.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На реализацию Указа Президента Российской Федерации от 07.05.2018 №204 «О национальных целях и стратегических задачах развития Российской Федерации на период до 2024 года» </w:t>
      </w:r>
      <w:r>
        <w:rPr>
          <w:rFonts w:ascii="Arial" w:hAnsi="Arial" w:cs="Arial"/>
          <w:color w:val="5B5B5B"/>
          <w:sz w:val="23"/>
          <w:szCs w:val="23"/>
        </w:rPr>
        <w:t>направлены 11 национальных проектов: «Безопасные и качественные автомобильные дороги», «Жилье и городская среда», «Экология», «Малое и среднее предпринимательство и поддержка индивидуальной предпринимательской инициативы», «Производительность труда и поддержка занятости»,</w:t>
      </w:r>
      <w:r>
        <w:rPr>
          <w:rFonts w:ascii="Arial" w:hAnsi="Arial" w:cs="Arial"/>
          <w:b/>
          <w:bCs/>
          <w:color w:val="5B5B5B"/>
          <w:sz w:val="23"/>
          <w:szCs w:val="23"/>
        </w:rPr>
        <w:t> </w:t>
      </w:r>
      <w:r>
        <w:rPr>
          <w:rFonts w:ascii="Arial" w:hAnsi="Arial" w:cs="Arial"/>
          <w:color w:val="5B5B5B"/>
          <w:sz w:val="23"/>
          <w:szCs w:val="23"/>
        </w:rPr>
        <w:t>«Цифровая экономика Российской Федерации», «Демография», «Культура», «Наука», «Образование», «Здравоохранение».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Администрация района участвует в выполнении 7 проектов: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 Национальный проект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«Цифровая экономика Российской Федерации» </w:t>
      </w:r>
      <w:r>
        <w:rPr>
          <w:rFonts w:ascii="Arial" w:hAnsi="Arial" w:cs="Arial"/>
          <w:color w:val="5B5B5B"/>
          <w:sz w:val="23"/>
          <w:szCs w:val="23"/>
        </w:rPr>
        <w:t xml:space="preserve">осуществляется через 3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федеральных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проекта: «Информационная инфраструктура», «Информационная безопасность» и «Цифровое государственное управление», в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рамках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которых используются отечественные разработки для систем защиты информации и систем электронного документооборота «Дело»,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Консультант+</w:t>
      </w:r>
      <w:proofErr w:type="spellEnd"/>
      <w:r>
        <w:rPr>
          <w:rFonts w:ascii="Arial" w:hAnsi="Arial" w:cs="Arial"/>
          <w:color w:val="5B5B5B"/>
          <w:sz w:val="23"/>
          <w:szCs w:val="23"/>
        </w:rPr>
        <w:t>, 1С: Предприятие 8, ОК Кадры.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оказании государственных муниципальных услуг используется Единый портал государственных услуг и портал «Электронный Барнаул». Доля граждан, использующих механизм получения муниципальных услуг в электронной форме, на 15.12.2019 составляет 75,2% (план – 70%).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 Национальный проект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«Безопасные и качественные автомобильные дороги» </w:t>
      </w:r>
      <w:r>
        <w:rPr>
          <w:rFonts w:ascii="Arial" w:hAnsi="Arial" w:cs="Arial"/>
          <w:color w:val="5B5B5B"/>
          <w:sz w:val="23"/>
          <w:szCs w:val="23"/>
        </w:rPr>
        <w:t>реализуется через приоритетный проект «Безопасные и качественные дороги» государственной программы Российской Федерации «Развитие транспортной системы»; муниципальную программу «Развитие дорожно-транспортной системы города Барнаула на 2015 - 2025 годы».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2019 году на территории района выполнены следующие работы: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капитальный ремонт 6 участков автомобильных дорог: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Ленина (от пл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.О</w:t>
      </w:r>
      <w:proofErr w:type="gramEnd"/>
      <w:r>
        <w:rPr>
          <w:rFonts w:ascii="Arial" w:hAnsi="Arial" w:cs="Arial"/>
          <w:color w:val="5B5B5B"/>
          <w:sz w:val="23"/>
          <w:szCs w:val="23"/>
        </w:rPr>
        <w:t>ктября до ул.Северо-Западной);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Социалистический (от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.М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олодежной до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Строителей);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Коммунаров (от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.С</w:t>
      </w:r>
      <w:proofErr w:type="gramEnd"/>
      <w:r>
        <w:rPr>
          <w:rFonts w:ascii="Arial" w:hAnsi="Arial" w:cs="Arial"/>
          <w:color w:val="5B5B5B"/>
          <w:sz w:val="23"/>
          <w:szCs w:val="23"/>
        </w:rPr>
        <w:t>оветской Армии до ул.Меланжевой);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.А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носова (от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Калинина до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Ленина);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.Т</w:t>
      </w:r>
      <w:proofErr w:type="gramEnd"/>
      <w:r>
        <w:rPr>
          <w:rFonts w:ascii="Arial" w:hAnsi="Arial" w:cs="Arial"/>
          <w:color w:val="5B5B5B"/>
          <w:sz w:val="23"/>
          <w:szCs w:val="23"/>
        </w:rPr>
        <w:t>кацкая (от дома №85 до здания №16);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.М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еланжевая (от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Коммунаров до ул.Матросова);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ремонт на 4 участках дорог частного сектора: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.В</w:t>
      </w:r>
      <w:proofErr w:type="gramEnd"/>
      <w:r>
        <w:rPr>
          <w:rFonts w:ascii="Arial" w:hAnsi="Arial" w:cs="Arial"/>
          <w:color w:val="5B5B5B"/>
          <w:sz w:val="23"/>
          <w:szCs w:val="23"/>
        </w:rPr>
        <w:t>осточная (от ул.Матросова до ул.Телефонной);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.А</w:t>
      </w:r>
      <w:proofErr w:type="gramEnd"/>
      <w:r>
        <w:rPr>
          <w:rFonts w:ascii="Arial" w:hAnsi="Arial" w:cs="Arial"/>
          <w:color w:val="5B5B5B"/>
          <w:sz w:val="23"/>
          <w:szCs w:val="23"/>
        </w:rPr>
        <w:t>эродромная (от ул.Красный Текстильщик до ул.Микронной);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.С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портивная (от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Коммунаров до ул.Микронной);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.Ф</w:t>
      </w:r>
      <w:proofErr w:type="gramEnd"/>
      <w:r>
        <w:rPr>
          <w:rFonts w:ascii="Arial" w:hAnsi="Arial" w:cs="Arial"/>
          <w:color w:val="5B5B5B"/>
          <w:sz w:val="23"/>
          <w:szCs w:val="23"/>
        </w:rPr>
        <w:t>урманова (от дома №159а по Павловскому тракту до дома №72 по ул.Фурманова).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План выполнен на 100%.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3. В рамках национального проекта</w:t>
      </w:r>
      <w:r>
        <w:rPr>
          <w:rFonts w:ascii="Arial" w:hAnsi="Arial" w:cs="Arial"/>
          <w:b/>
          <w:bCs/>
          <w:color w:val="5B5B5B"/>
          <w:sz w:val="23"/>
          <w:szCs w:val="23"/>
        </w:rPr>
        <w:t> «Экология» </w:t>
      </w:r>
      <w:r>
        <w:rPr>
          <w:rFonts w:ascii="Arial" w:hAnsi="Arial" w:cs="Arial"/>
          <w:color w:val="5B5B5B"/>
          <w:sz w:val="23"/>
          <w:szCs w:val="23"/>
        </w:rPr>
        <w:t xml:space="preserve">администрацией района в 2019 году проведены 72 экологические акции, ликвидированы 32 несанкционированные свалки. Выполнена расчистка ручья по ул.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Енисейской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от дома №23 до дома №49 и восстановлена водопропускная способность труб у моста по ул. Фурманова.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4. Для выполнения национального проекта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«Жилье и городская среда»</w:t>
      </w:r>
      <w:r>
        <w:rPr>
          <w:rFonts w:ascii="Arial" w:hAnsi="Arial" w:cs="Arial"/>
          <w:color w:val="5B5B5B"/>
          <w:sz w:val="23"/>
          <w:szCs w:val="23"/>
        </w:rPr>
        <w:t> на территории района согласно муниципальной программе «Формирование современной городской среды города Барнаула» на 2018-2020 годы» выполнены работы по благоустройству аллеи по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.Г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еоргия Исакова и 20 дворовых территорий по адресам: ул.Георгия Исакова, 115, 115а, 117, 119, 121, ул.Молодежная, 50, ул.Северо-Западная, 161, 175,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Ленина, 111, 113, ул.Деповская, 34, 36,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.С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оветской Армии, 50а, к.1, к.2,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Социалистический, 107,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Строителей, 29, ул.Профинтерна, 35, ул.Червонная, 2, ул. Микронная, 11, ул.Привокзальная, 49.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5. Промышленное предприятие АО «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Алтранс</w:t>
      </w:r>
      <w:proofErr w:type="spellEnd"/>
      <w:r>
        <w:rPr>
          <w:rFonts w:ascii="Arial" w:hAnsi="Arial" w:cs="Arial"/>
          <w:color w:val="5B5B5B"/>
          <w:sz w:val="23"/>
          <w:szCs w:val="23"/>
        </w:rPr>
        <w:t>» одно из 10 предприятий Алтайского края, вошедших в региональную программу «Производительность труда и поддержка занятости в Алтайском крае» на 2019-2024 годы. Данная программа ориентирована на исполнение национального проекта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«Производительность труда и поддержка занятости»</w:t>
      </w:r>
      <w:r>
        <w:rPr>
          <w:rFonts w:ascii="Arial" w:hAnsi="Arial" w:cs="Arial"/>
          <w:color w:val="5B5B5B"/>
          <w:sz w:val="23"/>
          <w:szCs w:val="23"/>
        </w:rPr>
        <w:t>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6. Муниципальная программа «Развитие предпринимательства в городе Барнаула на 2015-2020 годы» направлена на осуществление национального проекта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Arial" w:hAnsi="Arial" w:cs="Arial"/>
          <w:color w:val="5B5B5B"/>
          <w:sz w:val="23"/>
          <w:szCs w:val="23"/>
        </w:rPr>
        <w:t xml:space="preserve">. В 2019 году для участия в конкурсе «Лучший </w:t>
      </w:r>
      <w:r>
        <w:rPr>
          <w:rFonts w:ascii="Arial" w:hAnsi="Arial" w:cs="Arial"/>
          <w:color w:val="5B5B5B"/>
          <w:sz w:val="23"/>
          <w:szCs w:val="23"/>
        </w:rPr>
        <w:lastRenderedPageBreak/>
        <w:t>предприниматель города Барнаула» поданы заявки от пяти предпринимателей района, победу одержал магазин сувениров и новогодних товаров «Лавка добра».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7. Национальный проект</w:t>
      </w:r>
      <w:r>
        <w:rPr>
          <w:rFonts w:ascii="Arial" w:hAnsi="Arial" w:cs="Arial"/>
          <w:b/>
          <w:bCs/>
          <w:color w:val="5B5B5B"/>
          <w:sz w:val="23"/>
          <w:szCs w:val="23"/>
        </w:rPr>
        <w:t> «Демография»</w:t>
      </w:r>
      <w:r>
        <w:rPr>
          <w:rFonts w:ascii="Arial" w:hAnsi="Arial" w:cs="Arial"/>
          <w:color w:val="5B5B5B"/>
          <w:sz w:val="23"/>
          <w:szCs w:val="23"/>
        </w:rPr>
        <w:t> исполняется через постановление администрации города от 17.07.2015 №1166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 – города Барнаула Алтайского края».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 целью сохранения семейных традиций в районе проводятся праздничные мероприятия, посвященные Дню отца, Дню матери, Дню семьи, любви и верности и другие. Всего мероприятиями, посвященными семейным праздникам, в 2019 году охвачено более 3500 человек.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течение 2019 года проведено 60 спортивно-массовых мероприятий с различными категориями граждан (план – 60), в которых приняли участие более 4500 человек. 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В соответствии с Указом Президента РФ от 17.04.2017 №171 «О мониторинге и анализе результатов рассмотрения обращений граждан и организаций»</w:t>
      </w:r>
      <w:r>
        <w:rPr>
          <w:rFonts w:ascii="Arial" w:hAnsi="Arial" w:cs="Arial"/>
          <w:color w:val="5B5B5B"/>
          <w:sz w:val="23"/>
          <w:szCs w:val="23"/>
        </w:rPr>
        <w:t> в администрацию Железнодорожного района за 2019 год поступило 1591 обращение граждан, что на 78 обращений меньше, чем за аналогичный период прошлого года (2018 год - 1669).Уменьшение составило 4,7%.В Локальное АРМ ЕС ОГ в 2019 году внесено 839 обращений (52,7%). 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Исполнение Указа Президента Российской Федерации от 20.12.2016 №696 «Об утверждении Основ государственной политики Российской Федерации в области гражданской обороны на период до 2030 года»</w:t>
      </w:r>
      <w:r>
        <w:rPr>
          <w:rFonts w:ascii="Arial" w:hAnsi="Arial" w:cs="Arial"/>
          <w:color w:val="5B5B5B"/>
          <w:sz w:val="23"/>
          <w:szCs w:val="23"/>
        </w:rPr>
        <w:t>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районе определена общая потребность в защитных сооружениях для работников наибольших работающих смен организаций, отнесенных в установленном порядке к категориям по гражданской обороне, в количестве 11 защитных сооружений на 1350 укрываемых. Обеспечена их постоянная готовность. Определен перечень подвальных и других заглубленных помещений для укрытия населения Железнодорожного района в количестве 147 единиц.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>
        <w:rPr>
          <w:rFonts w:ascii="Arial" w:hAnsi="Arial" w:cs="Arial"/>
          <w:color w:val="5B5B5B"/>
          <w:sz w:val="23"/>
          <w:szCs w:val="23"/>
        </w:rPr>
        <w:t>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районе сформирована структура звена территориальной подсистемы единой государственной системы предупреждения и ликвидации чрезвычайных ситуаций. Совершенствование деятельности районного звена осуществляется ежегодно в рамках реализации Плана основных мероприятий района по вопросам гражданской обороны, предупреждения и ликвидации ЧС, обеспечения пожарной безопасности и безопасности людей на водных объектах.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весенний период текущего года с привлечением дружинников отряда Железнодорожного района БГОО «Народная дружина Барнаульская» проводилась работа по информированию населения, проживающего в зонах возможного подтопления, разъяснялись меры безопасности при угрозе подтопления.</w:t>
      </w:r>
    </w:p>
    <w:p w:rsidR="008C7731" w:rsidRDefault="008C7731" w:rsidP="008C7731">
      <w:pPr>
        <w:pStyle w:val="a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A06459" w:rsidRDefault="00A06459"/>
    <w:sectPr w:rsidR="00A0645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731"/>
    <w:rsid w:val="00060616"/>
    <w:rsid w:val="00087365"/>
    <w:rsid w:val="002536B8"/>
    <w:rsid w:val="005B23E4"/>
    <w:rsid w:val="00640F52"/>
    <w:rsid w:val="008C7731"/>
    <w:rsid w:val="00A06459"/>
    <w:rsid w:val="00A233C7"/>
    <w:rsid w:val="00B226D3"/>
    <w:rsid w:val="00B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pressa12</cp:lastModifiedBy>
  <cp:revision>1</cp:revision>
  <dcterms:created xsi:type="dcterms:W3CDTF">2020-03-20T06:18:00Z</dcterms:created>
  <dcterms:modified xsi:type="dcterms:W3CDTF">2020-03-20T06:19:00Z</dcterms:modified>
</cp:coreProperties>
</file>