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667"/>
        <w:pBdr/>
        <w:spacing w:after="0" w:line="240" w:lineRule="auto"/>
        <w:ind w:firstLine="709"/>
        <w:jc w:val="center"/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«Обзор изменений законодательства, вступивших в силу с 01.01.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2025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»</w:t>
      </w:r>
      <w:r/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 </w:t>
      </w:r>
      <w:r>
        <w:rPr>
          <w:rFonts w:ascii="Times New Roman" w:hAnsi="Times New Roman"/>
          <w:sz w:val="28"/>
          <w:szCs w:val="28"/>
          <w:lang w:eastAsia="ru-RU"/>
        </w:rPr>
        <w:t xml:space="preserve">С 1 января 202</w:t>
      </w:r>
      <w:r>
        <w:rPr>
          <w:rFonts w:ascii="Times New Roman" w:hAnsi="Times New Roman"/>
          <w:sz w:val="28"/>
          <w:szCs w:val="28"/>
          <w:lang w:eastAsia="ru-RU"/>
        </w:rPr>
        <w:t xml:space="preserve">5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минимальный размер оплаты труда в </w:t>
      </w:r>
      <w:r>
        <w:rPr>
          <w:rFonts w:ascii="Times New Roman" w:hAnsi="Times New Roman"/>
          <w:sz w:val="28"/>
          <w:szCs w:val="28"/>
          <w:lang w:eastAsia="ru-RU"/>
        </w:rPr>
        <w:t xml:space="preserve">Алтайском крае составляет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245</w:t>
      </w:r>
      <w:r>
        <w:rPr>
          <w:rFonts w:ascii="Times New Roman" w:hAnsi="Times New Roman"/>
          <w:sz w:val="28"/>
          <w:szCs w:val="28"/>
          <w:lang w:eastAsia="ru-RU"/>
        </w:rPr>
        <w:t xml:space="preserve">70 рублей. С учетом районных коэффициентов минимальная зарплата превысит </w:t>
      </w:r>
      <w:r>
        <w:rPr>
          <w:rFonts w:ascii="Times New Roman" w:hAnsi="Times New Roman"/>
          <w:sz w:val="28"/>
          <w:szCs w:val="28"/>
          <w:lang w:eastAsia="ru-RU"/>
        </w:rPr>
        <w:t xml:space="preserve">28000</w:t>
      </w:r>
      <w:r>
        <w:rPr>
          <w:rFonts w:ascii="Times New Roman" w:hAnsi="Times New Roman"/>
          <w:sz w:val="28"/>
          <w:szCs w:val="28"/>
          <w:lang w:eastAsia="ru-RU"/>
        </w:rPr>
        <w:t xml:space="preserve"> рублей.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sz w:val="28"/>
          <w:szCs w:val="28"/>
          <w:lang w:eastAsia="ru-RU"/>
        </w:rPr>
        <w:t xml:space="preserve">С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1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января граждане могут заявить стандартный вычет 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выполнение нормативов ГТО – физкультурно-спортивного комплекса «Готов к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труду 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обороне». Сумма вычета 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год</w:t>
      </w:r>
      <w:r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 xml:space="preserve">18000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рублей, экономия 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НДФЛ</w:t>
      </w:r>
      <w:r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 xml:space="preserve">2340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 при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ставке 13%.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Три условия для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получения вычета: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ч</w:t>
      </w:r>
      <w:r>
        <w:rPr>
          <w:rFonts w:ascii="Times New Roman" w:hAnsi="Times New Roman"/>
          <w:sz w:val="28"/>
          <w:szCs w:val="28"/>
          <w:lang w:eastAsia="ru-RU"/>
        </w:rPr>
        <w:t xml:space="preserve">еловек выполнил нормативы ГТО для</w:t>
      </w:r>
      <w:r>
        <w:rPr>
          <w:rFonts w:ascii="Times New Roman" w:hAnsi="Times New Roman"/>
          <w:sz w:val="28"/>
          <w:szCs w:val="28"/>
          <w:lang w:eastAsia="ru-RU"/>
        </w:rPr>
        <w:t xml:space="preserve"> своей возрастной группы в </w:t>
      </w:r>
      <w:r>
        <w:rPr>
          <w:rFonts w:ascii="Times New Roman" w:hAnsi="Times New Roman"/>
          <w:sz w:val="28"/>
          <w:szCs w:val="28"/>
          <w:lang w:eastAsia="ru-RU"/>
        </w:rPr>
        <w:t xml:space="preserve">одном из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центров тестирования. Найти центр можно 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личном кабинете 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сайте ГТО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п</w:t>
      </w:r>
      <w:r>
        <w:rPr>
          <w:rFonts w:ascii="Times New Roman" w:hAnsi="Times New Roman"/>
          <w:sz w:val="28"/>
          <w:szCs w:val="28"/>
          <w:lang w:eastAsia="ru-RU"/>
        </w:rPr>
        <w:t xml:space="preserve">олучил знак отличия, если сдает нормативы впервые, либо подтвердил уже полученный знак, если сдал повторно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п</w:t>
      </w:r>
      <w:r>
        <w:rPr>
          <w:rFonts w:ascii="Times New Roman" w:hAnsi="Times New Roman"/>
          <w:sz w:val="28"/>
          <w:szCs w:val="28"/>
          <w:lang w:eastAsia="ru-RU"/>
        </w:rPr>
        <w:t xml:space="preserve">рошел диспансеризацию 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том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же году, когда получил или подтвердил знак отличия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Документ: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Федеральный закон от 12.07.2024 №176-ФЗ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С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1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января увел</w:t>
      </w:r>
      <w:r>
        <w:rPr>
          <w:rFonts w:ascii="Times New Roman" w:hAnsi="Times New Roman"/>
          <w:sz w:val="28"/>
          <w:szCs w:val="28"/>
          <w:lang w:eastAsia="ru-RU"/>
        </w:rPr>
        <w:t xml:space="preserve">ичились</w:t>
      </w:r>
      <w:r>
        <w:rPr>
          <w:rFonts w:ascii="Times New Roman" w:hAnsi="Times New Roman"/>
          <w:sz w:val="28"/>
          <w:szCs w:val="28"/>
          <w:lang w:eastAsia="ru-RU"/>
        </w:rPr>
        <w:t xml:space="preserve"> штрафы 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большинство дорожных правонарушений</w:t>
      </w:r>
      <w:r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 xml:space="preserve">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среднем 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полтора раза.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Например, 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превышение скорости 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20</w:t>
      </w:r>
      <w:r>
        <w:rPr>
          <w:rFonts w:ascii="Times New Roman" w:hAnsi="Times New Roman"/>
          <w:sz w:val="28"/>
          <w:szCs w:val="28"/>
          <w:lang w:eastAsia="ru-RU"/>
        </w:rPr>
        <w:t xml:space="preserve">-</w:t>
      </w:r>
      <w:r>
        <w:rPr>
          <w:rFonts w:ascii="Times New Roman" w:hAnsi="Times New Roman"/>
          <w:sz w:val="28"/>
          <w:szCs w:val="28"/>
          <w:lang w:eastAsia="ru-RU"/>
        </w:rPr>
        <w:t xml:space="preserve">40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км/ч придется заплатить </w:t>
      </w:r>
      <w:r>
        <w:rPr>
          <w:rFonts w:ascii="Times New Roman" w:hAnsi="Times New Roman"/>
          <w:sz w:val="28"/>
          <w:szCs w:val="28"/>
          <w:lang w:eastAsia="ru-RU"/>
        </w:rPr>
        <w:br w:type="textWrapping" w:clear="all"/>
      </w:r>
      <w:r>
        <w:rPr>
          <w:rFonts w:ascii="Times New Roman" w:hAnsi="Times New Roman"/>
          <w:sz w:val="28"/>
          <w:szCs w:val="28"/>
          <w:lang w:eastAsia="ru-RU"/>
        </w:rPr>
        <w:t xml:space="preserve">750</w:t>
      </w:r>
      <w:r>
        <w:rPr>
          <w:rFonts w:ascii="Times New Roman" w:hAnsi="Times New Roman"/>
          <w:sz w:val="28"/>
          <w:szCs w:val="28"/>
          <w:lang w:eastAsia="ru-RU"/>
        </w:rPr>
        <w:t xml:space="preserve"> 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 вместо 500</w:t>
      </w:r>
      <w:r>
        <w:rPr>
          <w:rFonts w:ascii="Times New Roman" w:hAnsi="Times New Roman"/>
          <w:sz w:val="28"/>
          <w:szCs w:val="28"/>
          <w:lang w:eastAsia="ru-RU"/>
        </w:rPr>
        <w:t xml:space="preserve"> 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. 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за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непристегнутый ремень безопасности 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проезд 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красный свет</w:t>
      </w:r>
      <w:r>
        <w:rPr>
          <w:rFonts w:ascii="Times New Roman" w:hAnsi="Times New Roman"/>
          <w:sz w:val="28"/>
          <w:szCs w:val="28"/>
          <w:lang w:eastAsia="ru-RU"/>
        </w:rPr>
        <w:t xml:space="preserve"> – 1500 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 вместо 1000</w:t>
      </w:r>
      <w:r>
        <w:rPr>
          <w:rFonts w:ascii="Times New Roman" w:hAnsi="Times New Roman"/>
          <w:sz w:val="28"/>
          <w:szCs w:val="28"/>
          <w:lang w:eastAsia="ru-RU"/>
        </w:rPr>
        <w:t xml:space="preserve"> 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Кроме того уменьшена скидка</w:t>
      </w:r>
      <w:r>
        <w:rPr>
          <w:rFonts w:ascii="Times New Roman" w:hAnsi="Times New Roman"/>
          <w:sz w:val="28"/>
          <w:szCs w:val="28"/>
          <w:lang w:eastAsia="ru-RU"/>
        </w:rPr>
        <w:t xml:space="preserve"> при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оперативной уплате штрафа. 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2024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году водители могли заплатить только 50% от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штрафа, если вносили платеж не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позднее 20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дней с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даты вынесения постановления. Скидку </w:t>
      </w:r>
      <w:r>
        <w:rPr>
          <w:rFonts w:ascii="Times New Roman" w:hAnsi="Times New Roman"/>
          <w:sz w:val="28"/>
          <w:szCs w:val="28"/>
          <w:lang w:eastAsia="ru-RU"/>
        </w:rPr>
        <w:t xml:space="preserve">сократили</w:t>
      </w:r>
      <w:r>
        <w:rPr>
          <w:rFonts w:ascii="Times New Roman" w:hAnsi="Times New Roman"/>
          <w:sz w:val="28"/>
          <w:szCs w:val="28"/>
          <w:lang w:eastAsia="ru-RU"/>
        </w:rPr>
        <w:t xml:space="preserve"> до</w:t>
      </w:r>
      <w:r>
        <w:rPr>
          <w:rFonts w:ascii="Times New Roman" w:hAnsi="Times New Roman"/>
          <w:sz w:val="28"/>
          <w:szCs w:val="28"/>
          <w:lang w:eastAsia="ru-RU"/>
        </w:rPr>
        <w:t xml:space="preserve"> 25%, но </w:t>
      </w:r>
      <w:r>
        <w:rPr>
          <w:rFonts w:ascii="Times New Roman" w:hAnsi="Times New Roman"/>
          <w:sz w:val="28"/>
          <w:szCs w:val="28"/>
          <w:lang w:eastAsia="ru-RU"/>
        </w:rPr>
        <w:t xml:space="preserve">срок ее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действия увеличили до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30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дней.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Документ: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Федеральный закон от 26.12.2024 № 490-ФЗ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4. </w:t>
      </w:r>
      <w:r>
        <w:rPr>
          <w:rFonts w:ascii="Times New Roman" w:hAnsi="Times New Roman"/>
          <w:sz w:val="28"/>
          <w:szCs w:val="28"/>
          <w:lang w:eastAsia="ru-RU"/>
        </w:rPr>
        <w:t xml:space="preserve">С 13 января </w:t>
      </w:r>
      <w:r>
        <w:rPr>
          <w:rFonts w:ascii="Times New Roman" w:hAnsi="Times New Roman"/>
          <w:sz w:val="28"/>
          <w:szCs w:val="28"/>
          <w:lang w:eastAsia="ru-RU"/>
        </w:rPr>
        <w:t xml:space="preserve">2025 года </w:t>
      </w:r>
      <w:r>
        <w:rPr>
          <w:rFonts w:ascii="Times New Roman" w:hAnsi="Times New Roman"/>
          <w:sz w:val="28"/>
          <w:szCs w:val="28"/>
          <w:lang w:eastAsia="ru-RU"/>
        </w:rPr>
        <w:t xml:space="preserve">вступили в силу поправки в Гражданский кодекс РФ, согласно которым сделки по дарению квартиры, дома и иной недвижимости между любыми гражданами, включая близких родственников, надо удостоверять нотариально. То есть кроме госпошлины за регистрацию права </w:t>
      </w:r>
      <w:r>
        <w:rPr>
          <w:rFonts w:ascii="Times New Roman" w:hAnsi="Times New Roman"/>
          <w:sz w:val="28"/>
          <w:szCs w:val="28"/>
          <w:lang w:eastAsia="ru-RU"/>
        </w:rPr>
        <w:t xml:space="preserve">необходимо будет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о</w:t>
      </w:r>
      <w:r>
        <w:rPr>
          <w:rFonts w:ascii="Times New Roman" w:hAnsi="Times New Roman"/>
          <w:sz w:val="28"/>
          <w:szCs w:val="28"/>
          <w:lang w:eastAsia="ru-RU"/>
        </w:rPr>
        <w:t xml:space="preserve">платить еще </w:t>
      </w:r>
      <w:r>
        <w:rPr>
          <w:rFonts w:ascii="Times New Roman" w:hAnsi="Times New Roman"/>
          <w:sz w:val="28"/>
          <w:szCs w:val="28"/>
          <w:lang w:eastAsia="ru-RU"/>
        </w:rPr>
        <w:t xml:space="preserve">стоимость</w:t>
      </w:r>
      <w:r>
        <w:rPr>
          <w:rFonts w:ascii="Times New Roman" w:hAnsi="Times New Roman"/>
          <w:sz w:val="28"/>
          <w:szCs w:val="28"/>
          <w:lang w:eastAsia="ru-RU"/>
        </w:rPr>
        <w:t xml:space="preserve"> нотариальны</w:t>
      </w:r>
      <w:r>
        <w:rPr>
          <w:rFonts w:ascii="Times New Roman" w:hAnsi="Times New Roman"/>
          <w:sz w:val="28"/>
          <w:szCs w:val="28"/>
          <w:lang w:eastAsia="ru-RU"/>
        </w:rPr>
        <w:t xml:space="preserve">х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услуг.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Нотариус, который заверил договор, по общему правилу сам подает в Росреестр заявление о регистрации прав. Но стороны могут возразить против этого и обратиться за госуслугой напрямую.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Документ: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Федеральный закон от 13.12.2024 N 459-ФЗ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 С 1 января в среднем вдвое увелич</w:t>
      </w:r>
      <w:r>
        <w:rPr>
          <w:rFonts w:ascii="Times New Roman" w:hAnsi="Times New Roman"/>
          <w:sz w:val="28"/>
          <w:szCs w:val="28"/>
          <w:lang w:eastAsia="ru-RU"/>
        </w:rPr>
        <w:t xml:space="preserve">ились</w:t>
      </w:r>
      <w:r>
        <w:rPr>
          <w:rFonts w:ascii="Times New Roman" w:hAnsi="Times New Roman"/>
          <w:sz w:val="28"/>
          <w:szCs w:val="28"/>
          <w:lang w:eastAsia="ru-RU"/>
        </w:rPr>
        <w:t xml:space="preserve"> госпошлины, которые граждане должны уплачивать при сделках с недвижимостью: за регистрацию прав, обременений и прочего.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Если в 2024 году за госрегистрацию прав на недвижимость граждане платили 2000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, то с 2025 года размер пошлины завис</w:t>
      </w:r>
      <w:r>
        <w:rPr>
          <w:rFonts w:ascii="Times New Roman" w:hAnsi="Times New Roman"/>
          <w:sz w:val="28"/>
          <w:szCs w:val="28"/>
          <w:lang w:eastAsia="ru-RU"/>
        </w:rPr>
        <w:t xml:space="preserve">ит</w:t>
      </w:r>
      <w:r>
        <w:rPr>
          <w:rFonts w:ascii="Times New Roman" w:hAnsi="Times New Roman"/>
          <w:sz w:val="28"/>
          <w:szCs w:val="28"/>
          <w:lang w:eastAsia="ru-RU"/>
        </w:rPr>
        <w:t xml:space="preserve"> от кадастровой стоимости объекта: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если кадастровая стоимость не определена или не превышает 20 000 000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 – </w:t>
      </w:r>
      <w:r>
        <w:rPr>
          <w:rFonts w:ascii="Times New Roman" w:hAnsi="Times New Roman"/>
          <w:sz w:val="28"/>
          <w:szCs w:val="28"/>
          <w:lang w:eastAsia="ru-RU"/>
        </w:rPr>
        <w:t xml:space="preserve">4000 ₽;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если кадастровая стоимость больше 20 000 000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 – </w:t>
      </w:r>
      <w:r>
        <w:rPr>
          <w:rFonts w:ascii="Times New Roman" w:hAnsi="Times New Roman"/>
          <w:sz w:val="28"/>
          <w:szCs w:val="28"/>
          <w:lang w:eastAsia="ru-RU"/>
        </w:rPr>
        <w:t xml:space="preserve">0,02% от кадастровой стоимости, но не менее 0,02% от цены сделки и не более 500 000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Документ: Федеральный закон от 12.07.2024 № 176-ФЗ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 С 1 января вдвое увеличились размеры платы за получение выписок из единого госреестра недвижимости.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Например, для физлиц, включая ИП, бумажная выписка об объекте недвижимости будет стоить 1740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 вместо 870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. Электронная выписка обойдется в 700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</w:t>
      </w:r>
      <w:r>
        <w:rPr>
          <w:rFonts w:ascii="Times New Roman" w:hAnsi="Times New Roman"/>
          <w:sz w:val="28"/>
          <w:szCs w:val="28"/>
          <w:lang w:eastAsia="ru-RU"/>
        </w:rPr>
        <w:t xml:space="preserve"> вместо 350 </w:t>
      </w:r>
      <w:r>
        <w:rPr>
          <w:rFonts w:ascii="Times New Roman" w:hAnsi="Times New Roman"/>
          <w:sz w:val="28"/>
          <w:szCs w:val="28"/>
          <w:lang w:eastAsia="ru-RU"/>
        </w:rPr>
        <w:t xml:space="preserve">рублей.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7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С 1 января за расторжение брака каждый супруг заплатит пошлину 5000 рублей вместо</w:t>
      </w:r>
      <w:r>
        <w:rPr>
          <w:rFonts w:ascii="Times New Roman" w:hAnsi="Times New Roman"/>
          <w:sz w:val="28"/>
          <w:szCs w:val="28"/>
          <w:lang w:eastAsia="ru-RU"/>
        </w:rPr>
        <w:t xml:space="preserve"> 650 рублей. Не изменится плата за расторжение брака по желанию одного из супругов, если другой признан безвестно отсутствующим, недееспособным или приговорен к лишению свободы на срок более трех лет. В этих случаях надо заплатить 350 рублей, как и раньше.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За регистрацию перемены имени, отчества или фамилии госпошлина также увеличится</w:t>
      </w:r>
      <w:r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 xml:space="preserve">с 1600 до 5000 рублей.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Документ: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Федеральный закон от 12.07.2024 № 176-ФЗ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8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С 1 января налогоплательщики смогут подавать жалобы в ИФНС в упрощенном порядке. Это сократит срок их рассмотрения.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Подать жалобу по упрощенной схеме можно только </w:t>
      </w:r>
      <w:r>
        <w:rPr>
          <w:rFonts w:ascii="Times New Roman" w:hAnsi="Times New Roman"/>
          <w:sz w:val="28"/>
          <w:szCs w:val="28"/>
          <w:lang w:eastAsia="ru-RU"/>
        </w:rPr>
        <w:t xml:space="preserve">в электронной форме </w:t>
      </w:r>
      <w:r>
        <w:rPr>
          <w:rFonts w:ascii="Times New Roman" w:hAnsi="Times New Roman"/>
          <w:sz w:val="28"/>
          <w:szCs w:val="28"/>
          <w:lang w:eastAsia="ru-RU"/>
        </w:rPr>
        <w:t xml:space="preserve">через спецоператора</w:t>
      </w:r>
      <w:r>
        <w:rPr>
          <w:rFonts w:ascii="Times New Roman" w:hAnsi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/>
          <w:sz w:val="28"/>
          <w:szCs w:val="28"/>
          <w:lang w:eastAsia="ru-RU"/>
        </w:rPr>
        <w:t xml:space="preserve">или личный кабинет налогоплательщика.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 жалобе </w:t>
      </w:r>
      <w:r>
        <w:rPr>
          <w:rFonts w:ascii="Times New Roman" w:hAnsi="Times New Roman"/>
          <w:sz w:val="28"/>
          <w:szCs w:val="28"/>
          <w:lang w:eastAsia="ru-RU"/>
        </w:rPr>
        <w:t xml:space="preserve">необходимо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указать, что ее нужно рассмотреть в порядке, установленном </w:t>
      </w:r>
      <w:r>
        <w:rPr>
          <w:rFonts w:ascii="Times New Roman" w:hAnsi="Times New Roman"/>
          <w:sz w:val="28"/>
          <w:szCs w:val="28"/>
          <w:lang w:eastAsia="ru-RU"/>
        </w:rPr>
        <w:t xml:space="preserve">статьей 140.1 </w:t>
      </w:r>
      <w:r>
        <w:rPr>
          <w:rFonts w:ascii="Times New Roman" w:hAnsi="Times New Roman"/>
          <w:sz w:val="28"/>
          <w:szCs w:val="28"/>
          <w:lang w:eastAsia="ru-RU"/>
        </w:rPr>
        <w:t xml:space="preserve">Н</w:t>
      </w:r>
      <w:r>
        <w:rPr>
          <w:rFonts w:ascii="Times New Roman" w:hAnsi="Times New Roman"/>
          <w:sz w:val="28"/>
          <w:szCs w:val="28"/>
          <w:lang w:eastAsia="ru-RU"/>
        </w:rPr>
        <w:t xml:space="preserve">алогового кодекса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то есть упрощенном</w:t>
      </w:r>
      <w:r>
        <w:rPr>
          <w:rFonts w:ascii="Times New Roman" w:hAnsi="Times New Roman"/>
          <w:sz w:val="28"/>
          <w:szCs w:val="28"/>
          <w:lang w:eastAsia="ru-RU"/>
        </w:rPr>
        <w:t xml:space="preserve">, это послужит основанием для ее направления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в инспекцию, чьи акты, действия или бездействие обжалуются.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 течение семи рабочих дней </w:t>
      </w:r>
      <w:r>
        <w:rPr>
          <w:rFonts w:ascii="Times New Roman" w:hAnsi="Times New Roman"/>
          <w:sz w:val="28"/>
          <w:szCs w:val="28"/>
          <w:lang w:eastAsia="ru-RU"/>
        </w:rPr>
        <w:t xml:space="preserve">налоговая служба</w:t>
      </w:r>
      <w:r>
        <w:rPr>
          <w:rFonts w:ascii="Times New Roman" w:hAnsi="Times New Roman"/>
          <w:sz w:val="28"/>
          <w:szCs w:val="28"/>
          <w:lang w:eastAsia="ru-RU"/>
        </w:rPr>
        <w:t xml:space="preserve"> либо удовлетвор</w:t>
      </w:r>
      <w:r>
        <w:rPr>
          <w:rFonts w:ascii="Times New Roman" w:hAnsi="Times New Roman"/>
          <w:sz w:val="28"/>
          <w:szCs w:val="28"/>
          <w:lang w:eastAsia="ru-RU"/>
        </w:rPr>
        <w:t xml:space="preserve">и</w:t>
      </w:r>
      <w:r>
        <w:rPr>
          <w:rFonts w:ascii="Times New Roman" w:hAnsi="Times New Roman"/>
          <w:sz w:val="28"/>
          <w:szCs w:val="28"/>
          <w:lang w:eastAsia="ru-RU"/>
        </w:rPr>
        <w:t xml:space="preserve">т жалобу, либо переда</w:t>
      </w:r>
      <w:r>
        <w:rPr>
          <w:rFonts w:ascii="Times New Roman" w:hAnsi="Times New Roman"/>
          <w:sz w:val="28"/>
          <w:szCs w:val="28"/>
          <w:lang w:eastAsia="ru-RU"/>
        </w:rPr>
        <w:t xml:space="preserve">ст</w:t>
      </w:r>
      <w:r>
        <w:rPr>
          <w:rFonts w:ascii="Times New Roman" w:hAnsi="Times New Roman"/>
          <w:sz w:val="28"/>
          <w:szCs w:val="28"/>
          <w:lang w:eastAsia="ru-RU"/>
        </w:rPr>
        <w:t xml:space="preserve"> ее в региональное УФНС для рассмотрения в общем порядке.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9. </w:t>
      </w:r>
      <w:r>
        <w:rPr>
          <w:rFonts w:ascii="Times New Roman" w:hAnsi="Times New Roman"/>
          <w:sz w:val="28"/>
          <w:szCs w:val="28"/>
          <w:lang w:eastAsia="ru-RU"/>
        </w:rPr>
        <w:t xml:space="preserve">Внесены изменения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в Федеральный закон от 31.07.2020 №248-ФЗ </w:t>
      </w:r>
      <w:r>
        <w:rPr>
          <w:rFonts w:ascii="Times New Roman" w:hAnsi="Times New Roman"/>
          <w:sz w:val="28"/>
          <w:szCs w:val="28"/>
          <w:lang w:eastAsia="ru-RU"/>
        </w:rPr>
        <w:br w:type="textWrapping" w:clear="all"/>
      </w:r>
      <w:r>
        <w:rPr>
          <w:rFonts w:ascii="Times New Roman" w:hAnsi="Times New Roman"/>
          <w:sz w:val="28"/>
          <w:szCs w:val="28"/>
          <w:lang w:eastAsia="ru-RU"/>
        </w:rPr>
        <w:t xml:space="preserve">«О государственном контроле (надзоре) и муниципальном контроле в РФ» в части уточнения порядка организации и проведения государственного и муниципального контроля и надзора.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/>
      </w:pPr>
      <w:r>
        <w:rPr>
          <w:rFonts w:ascii="Times New Roman" w:hAnsi="Times New Roman"/>
          <w:sz w:val="28"/>
          <w:szCs w:val="28"/>
          <w:lang w:eastAsia="ru-RU"/>
        </w:rPr>
        <w:t xml:space="preserve">Основные изменения: </w:t>
      </w:r>
      <w:r>
        <w:rPr>
          <w:rFonts w:ascii="Times New Roman" w:hAnsi="Times New Roman"/>
          <w:sz w:val="28"/>
          <w:szCs w:val="28"/>
          <w:lang w:eastAsia="ru-RU"/>
        </w:rPr>
      </w:r>
      <w:r/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Значительная часть изменений затронула расширение сферы применения мобильного приложения «Инспектор» (далее – МП «Инспектор»). Теперь </w:t>
      </w:r>
      <w:r>
        <w:rPr>
          <w:rFonts w:ascii="Times New Roman" w:hAnsi="Times New Roman"/>
          <w:sz w:val="28"/>
          <w:szCs w:val="28"/>
          <w:lang w:eastAsia="ru-RU"/>
        </w:rPr>
        <w:br w:type="textWrapping" w:clear="all"/>
      </w:r>
      <w:r>
        <w:rPr>
          <w:rFonts w:ascii="Times New Roman" w:hAnsi="Times New Roman"/>
          <w:sz w:val="28"/>
          <w:szCs w:val="28"/>
          <w:lang w:eastAsia="ru-RU"/>
        </w:rPr>
        <w:t xml:space="preserve">МП «Инспектор» приравнен к информационным системам государственного контроля (надзора), муниципального контроля и с его помощью могут быть проведены многие виды </w:t>
      </w:r>
      <w:r>
        <w:rPr>
          <w:rFonts w:ascii="Times New Roman" w:hAnsi="Times New Roman"/>
          <w:sz w:val="28"/>
          <w:szCs w:val="28"/>
          <w:lang w:eastAsia="ru-RU"/>
        </w:rPr>
        <w:t xml:space="preserve">контрольных мероприятий;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Определены новые критерии отнесения объектов контроля к категориям риска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Внесены изменения в периодичность проведений плановых КНМ. Ранее для каждой категории риска Федеральным законом были установлены конкретная периодичность проведения плановых КНМ. Теперь для о</w:t>
      </w:r>
      <w:r>
        <w:rPr>
          <w:rFonts w:ascii="Times New Roman" w:hAnsi="Times New Roman"/>
          <w:sz w:val="28"/>
          <w:szCs w:val="28"/>
          <w:lang w:eastAsia="ru-RU"/>
        </w:rPr>
        <w:t xml:space="preserve">бъектов высокого риска введена возможность замены плановых КНМ плановыми профилактическими визитами. Периодичность проведения обязательных профилактических визитов для объектов значительного, среднего и умеренного риска будет определяться Правительством РФ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Контролируемому лицу предоставлено право отказать инспектору в дос</w:t>
      </w:r>
      <w:r>
        <w:rPr>
          <w:rFonts w:ascii="Times New Roman" w:hAnsi="Times New Roman"/>
          <w:sz w:val="28"/>
          <w:szCs w:val="28"/>
          <w:lang w:eastAsia="ru-RU"/>
        </w:rPr>
        <w:t xml:space="preserve">тупе на объект или к документам, если на документе (решении о проведении КНМ) контрольного (надзорного) органа отсутствует QR-код, по которому можно перейти в единый реестр контрольных (надзорных) мероприятий (далее – ЕРКНМ) и ознакомиться с информацией о </w:t>
      </w:r>
      <w:r>
        <w:rPr>
          <w:rFonts w:ascii="Times New Roman" w:hAnsi="Times New Roman"/>
          <w:sz w:val="28"/>
          <w:szCs w:val="28"/>
          <w:lang w:eastAsia="ru-RU"/>
        </w:rPr>
        <w:t xml:space="preserve">контрольном мероприятии;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Расширен перечень </w:t>
      </w:r>
      <w:r>
        <w:rPr>
          <w:rFonts w:ascii="Times New Roman" w:hAnsi="Times New Roman"/>
          <w:sz w:val="28"/>
          <w:szCs w:val="28"/>
          <w:lang w:eastAsia="ru-RU"/>
        </w:rPr>
        <w:t xml:space="preserve">действий</w:t>
      </w:r>
      <w:r>
        <w:rPr>
          <w:rFonts w:ascii="Times New Roman" w:hAnsi="Times New Roman"/>
          <w:sz w:val="28"/>
          <w:szCs w:val="28"/>
          <w:lang w:eastAsia="ru-RU"/>
        </w:rPr>
        <w:t xml:space="preserve"> инспектора </w:t>
      </w:r>
      <w:r>
        <w:rPr>
          <w:rFonts w:ascii="Times New Roman" w:hAnsi="Times New Roman"/>
          <w:sz w:val="28"/>
          <w:szCs w:val="28"/>
          <w:lang w:eastAsia="ru-RU"/>
        </w:rPr>
        <w:t xml:space="preserve">и документов, которые можно </w:t>
      </w:r>
      <w:r>
        <w:rPr>
          <w:rFonts w:ascii="Times New Roman" w:hAnsi="Times New Roman"/>
          <w:sz w:val="28"/>
          <w:szCs w:val="28"/>
          <w:lang w:eastAsia="ru-RU"/>
        </w:rPr>
        <w:t xml:space="preserve">обжаловать в досудебном порядке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Умень</w:t>
      </w:r>
      <w:r>
        <w:rPr>
          <w:rFonts w:ascii="Times New Roman" w:hAnsi="Times New Roman"/>
          <w:sz w:val="28"/>
          <w:szCs w:val="28"/>
          <w:lang w:eastAsia="ru-RU"/>
        </w:rPr>
        <w:t xml:space="preserve">шены сроки рассмотрения жалоб. Срок рассмотрения жалобы, поданной в рамках досудебного обжалования, был уменьшен с 20 рабочих дней до 15 рабочих дней, а срок рассмотрение жалобы на отнесение объекта к определенной категории составит не более 5 рабочих дней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Значительно изменены цели и подход к проведению профилактических визитов. Теперь инспектор в ходе проведения профилактического виз</w:t>
      </w:r>
      <w:r>
        <w:rPr>
          <w:rFonts w:ascii="Times New Roman" w:hAnsi="Times New Roman"/>
          <w:sz w:val="28"/>
          <w:szCs w:val="28"/>
          <w:lang w:eastAsia="ru-RU"/>
        </w:rPr>
        <w:t xml:space="preserve">ита имеет право проводить оценку уровня соблюдения контролируемым лицом обязательных требований. Также все профилактические визиты были разделены на две группы: обязательный профилактический визит и профилактический визит по инициативе контролируемого лица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Правительством РФ по согласованию с Генеральной прокуратурой РФ могут быть определены виды контроля, в рамках которых КНМ с использованием мобильного приложения «Инспектор» допускается проводить без предварительного согл</w:t>
      </w:r>
      <w:r>
        <w:rPr>
          <w:rFonts w:ascii="Times New Roman" w:hAnsi="Times New Roman"/>
          <w:sz w:val="28"/>
          <w:szCs w:val="28"/>
          <w:lang w:eastAsia="ru-RU"/>
        </w:rPr>
        <w:t xml:space="preserve">асования с органами прокуратуры;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Внесен ряд дополнений и уточнений по тексту многих статей, в том числе касающихся проведения КНМ и ПМ, а также контрольных надзорных действий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Документ: 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Федеральный закон от 28.12.2024 N 540-ФЗ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</w:t>
      </w:r>
      <w:r>
        <w:rPr>
          <w:rFonts w:ascii="Times New Roman" w:hAnsi="Times New Roman"/>
          <w:sz w:val="28"/>
          <w:szCs w:val="28"/>
          <w:lang w:eastAsia="ru-RU"/>
        </w:rPr>
        <w:t xml:space="preserve">0</w:t>
      </w:r>
      <w:r>
        <w:rPr>
          <w:rFonts w:ascii="Times New Roman" w:hAnsi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Указом Президента России от 28.12.2024 №1124 утверждена новая Стратегия противодействия экстремизму.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Данным документом: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обозначены основные источники угроз экстремизма в современной России, в том числе - тенденция к дальнейшему распространению радикализма;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 установлены задачи и основные направления государственной политики в сфере противодействия экстремизму, включая повышение уровня патриотизма населения и эффективности профилактики правонарушений экстремистской направленности;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также определен порядок взаимодействия государственных органов, органов местного самоуправления и организаций при реализации Стратегии.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i/>
          <w:iCs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i/>
          <w:iCs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11.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Постановлением Правительства Алтайского края от 27.12.2024 №536 установлены минимальные размеры взноса на капитальный ремонт общего имущества в многоквартирных домах на 2025 год.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 1 января размеры взносов повысились на 15,4 - 15,5%.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Так, минимальный размер взноса составит: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 для многоквартирных домов, количество этажей которых пять </w:t>
        <w:br w:type="textWrapping" w:clear="all"/>
        <w:t xml:space="preserve">и выше - 11 рублей 75 копеек за квадратный метр;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 для кирпичных, монолитных, блочных и панельных многоквартирных домов до четырех этажей – 13 рублей 7 копеек;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 для деревянных многоквартирных домов и домов смешанных конструкций до 4 этажей – 14 рублей 42 копейки.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12</w:t>
      </w:r>
      <w:r>
        <w:rPr>
          <w:rFonts w:ascii="Times New Roman" w:hAnsi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Решением Управления Алтайского края по государственному регулированию цен и тарифов от 27.12.2024 №594 скорректирован единый тариф на услугу регионального оператора в сфере обращения с твердыми коммунальными отходами.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 1 января 2025 года для населения единый тариф по обращению </w:t>
        <w:br w:type="textWrapping" w:clear="all"/>
        <w:t xml:space="preserve">с твердыми коммунальными отходами 4 класса опасности                                снизился на 2% до 569 рублей 80 копеек за кубический метр.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 учетом нормативов накопления отходов плата за данную услугу для одного человека в месяц составит: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 для жителей многоквартирных домов – 68 рублей 89 копеек;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 для жителей индивидуальных жилых домов – 71 рубль 23 копейки.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/>
          <w:sz w:val="28"/>
          <w:szCs w:val="28"/>
          <w:highlight w:val="yellow"/>
          <w:lang w:eastAsia="ru-RU"/>
        </w:rPr>
      </w:r>
    </w:p>
    <w:p>
      <w:pPr>
        <w:pStyle w:val="667"/>
        <w:pBdr/>
        <w:spacing w:after="0" w:line="240" w:lineRule="auto"/>
        <w:ind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sectPr>
      <w:headerReference w:type="default" r:id="rId9"/>
      <w:footnotePr/>
      <w:endnotePr/>
      <w:type w:val="nextPage"/>
      <w:pgSz w:h="16838" w:orient="portrait" w:w="11906"/>
      <w:pgMar w:top="1134" w:right="567" w:bottom="1134" w:left="1134" w:header="709" w:footer="709" w:gutter="0"/>
      <w:cols w:num="1" w:sep="0" w:space="708" w:equalWidth="1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Segoe UI">
    <w:panose1 w:val="020B0502040504020204"/>
  </w:font>
  <w:font w:name="Calibri Light">
    <w:panose1 w:val="020F050202020403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1"/>
      <w:pBdr/>
      <w:spacing/>
      <w:ind/>
      <w:jc w:val="right"/>
      <w:rPr>
        <w:rFonts w:ascii="Times New Roman" w:hAnsi="Times New Roman"/>
      </w:rPr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PAGE   \* MERGEFORMAT</w:instrText>
    </w:r>
    <w:r>
      <w:rPr>
        <w:rFonts w:ascii="Times New Roman" w:hAnsi="Times New Roman"/>
      </w:rPr>
      <w:fldChar w:fldCharType="separate"/>
    </w:r>
    <w:r>
      <w:rPr>
        <w:rFonts w:ascii="Times New Roman" w:hAnsi="Times New Roman"/>
      </w:rPr>
      <w:t xml:space="preserve">2</w:t>
    </w:r>
    <w:r>
      <w:rPr>
        <w:rFonts w:ascii="Times New Roman" w:hAnsi="Times New Roman"/>
      </w:rPr>
      <w:fldChar w:fldCharType="end"/>
    </w:r>
    <w:r>
      <w:rPr>
        <w:rFonts w:ascii="Times New Roman" w:hAnsi="Times New Roman"/>
      </w:rPr>
    </w:r>
    <w:r>
      <w:rPr>
        <w:rFonts w:ascii="Times New Roman" w:hAnsi="Times New Roman"/>
      </w:rPr>
    </w:r>
  </w:p>
  <w:p>
    <w:pPr>
      <w:pStyle w:val="681"/>
      <w:pBdr/>
      <w:spacing/>
      <w:ind/>
      <w:rPr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decimal"/>
      <w:pPr>
        <w:pBdr/>
        <w:tabs>
          <w:tab w:val="num" w:leader="none" w:pos="1440"/>
        </w:tabs>
        <w:spacing/>
        <w:ind w:hanging="360" w:left="1440"/>
      </w:pPr>
      <w:rPr/>
      <w:start w:val="1"/>
      <w:suff w:val="tab"/>
    </w:lvl>
    <w:lvl w:ilvl="2">
      <w:isLgl w:val="false"/>
      <w:lvlJc w:val="left"/>
      <w:lvlText w:val="%3."/>
      <w:numFmt w:val="decimal"/>
      <w:pPr>
        <w:pBdr/>
        <w:tabs>
          <w:tab w:val="num" w:leader="none" w:pos="2160"/>
        </w:tabs>
        <w:spacing/>
        <w:ind w:hanging="36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decimal"/>
      <w:pPr>
        <w:pBdr/>
        <w:tabs>
          <w:tab w:val="num" w:leader="none" w:pos="3600"/>
        </w:tabs>
        <w:spacing/>
        <w:ind w:hanging="360" w:left="3600"/>
      </w:pPr>
      <w:rPr/>
      <w:start w:val="1"/>
      <w:suff w:val="tab"/>
    </w:lvl>
    <w:lvl w:ilvl="5">
      <w:isLgl w:val="false"/>
      <w:lvlJc w:val="left"/>
      <w:lvlText w:val="%6."/>
      <w:numFmt w:val="decimal"/>
      <w:pPr>
        <w:pBdr/>
        <w:tabs>
          <w:tab w:val="num" w:leader="none" w:pos="4320"/>
        </w:tabs>
        <w:spacing/>
        <w:ind w:hanging="36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decimal"/>
      <w:pPr>
        <w:pBdr/>
        <w:tabs>
          <w:tab w:val="num" w:leader="none" w:pos="5760"/>
        </w:tabs>
        <w:spacing/>
        <w:ind w:hanging="360" w:left="5760"/>
      </w:pPr>
      <w:rPr/>
      <w:start w:val="1"/>
      <w:suff w:val="tab"/>
    </w:lvl>
    <w:lvl w:ilvl="8">
      <w:isLgl w:val="false"/>
      <w:lvlJc w:val="left"/>
      <w:lvlText w:val="%9."/>
      <w:numFmt w:val="decimal"/>
      <w:pPr>
        <w:pBdr/>
        <w:tabs>
          <w:tab w:val="num" w:leader="none" w:pos="6480"/>
        </w:tabs>
        <w:spacing/>
        <w:ind w:hanging="360" w:left="6480"/>
      </w:pPr>
      <w:rPr/>
      <w:start w:val="1"/>
      <w:suff w:val="tab"/>
    </w:lvl>
  </w:abstractNum>
  <w:abstractNum w:abstractNumId="1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2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3">
    <w:lvl w:ilvl="0">
      <w:isLgl w:val="false"/>
      <w:lvlJc w:val="left"/>
      <w:lvlText w:val="%1."/>
      <w:numFmt w:val="decimal"/>
      <w:pPr>
        <w:pBdr/>
        <w:tabs>
          <w:tab w:val="num" w:leader="none" w:pos="720"/>
        </w:tabs>
        <w:spacing/>
        <w:ind w:hanging="360" w:left="720"/>
      </w:pPr>
      <w:rPr/>
      <w:start w:val="1"/>
      <w:suff w:val="tab"/>
    </w:lvl>
    <w:lvl w:ilvl="1">
      <w:isLgl w:val="false"/>
      <w:lvlJc w:val="left"/>
      <w:lvlText w:val="%2."/>
      <w:numFmt w:val="decimal"/>
      <w:pPr>
        <w:pBdr/>
        <w:tabs>
          <w:tab w:val="num" w:leader="none" w:pos="1440"/>
        </w:tabs>
        <w:spacing/>
        <w:ind w:hanging="360" w:left="1440"/>
      </w:pPr>
      <w:rPr/>
      <w:start w:val="1"/>
      <w:suff w:val="tab"/>
    </w:lvl>
    <w:lvl w:ilvl="2">
      <w:isLgl w:val="false"/>
      <w:lvlJc w:val="left"/>
      <w:lvlText w:val="%3."/>
      <w:numFmt w:val="decimal"/>
      <w:pPr>
        <w:pBdr/>
        <w:tabs>
          <w:tab w:val="num" w:leader="none" w:pos="2160"/>
        </w:tabs>
        <w:spacing/>
        <w:ind w:hanging="360" w:left="2160"/>
      </w:pPr>
      <w:rPr/>
      <w:start w:val="1"/>
      <w:suff w:val="tab"/>
    </w:lvl>
    <w:lvl w:ilvl="3">
      <w:isLgl w:val="false"/>
      <w:lvlJc w:val="left"/>
      <w:lvlText w:val="%4."/>
      <w:numFmt w:val="decimal"/>
      <w:pPr>
        <w:pBdr/>
        <w:tabs>
          <w:tab w:val="num" w:leader="none" w:pos="2880"/>
        </w:tabs>
        <w:spacing/>
        <w:ind w:hanging="360" w:left="2880"/>
      </w:pPr>
      <w:rPr/>
      <w:start w:val="1"/>
      <w:suff w:val="tab"/>
    </w:lvl>
    <w:lvl w:ilvl="4">
      <w:isLgl w:val="false"/>
      <w:lvlJc w:val="left"/>
      <w:lvlText w:val="%5."/>
      <w:numFmt w:val="decimal"/>
      <w:pPr>
        <w:pBdr/>
        <w:tabs>
          <w:tab w:val="num" w:leader="none" w:pos="3600"/>
        </w:tabs>
        <w:spacing/>
        <w:ind w:hanging="360" w:left="3600"/>
      </w:pPr>
      <w:rPr/>
      <w:start w:val="1"/>
      <w:suff w:val="tab"/>
    </w:lvl>
    <w:lvl w:ilvl="5">
      <w:isLgl w:val="false"/>
      <w:lvlJc w:val="left"/>
      <w:lvlText w:val="%6."/>
      <w:numFmt w:val="decimal"/>
      <w:pPr>
        <w:pBdr/>
        <w:tabs>
          <w:tab w:val="num" w:leader="none" w:pos="4320"/>
        </w:tabs>
        <w:spacing/>
        <w:ind w:hanging="360" w:left="4320"/>
      </w:pPr>
      <w:rPr/>
      <w:start w:val="1"/>
      <w:suff w:val="tab"/>
    </w:lvl>
    <w:lvl w:ilvl="6">
      <w:isLgl w:val="false"/>
      <w:lvlJc w:val="left"/>
      <w:lvlText w:val="%7."/>
      <w:numFmt w:val="decimal"/>
      <w:pPr>
        <w:pBdr/>
        <w:tabs>
          <w:tab w:val="num" w:leader="none" w:pos="5040"/>
        </w:tabs>
        <w:spacing/>
        <w:ind w:hanging="360" w:left="5040"/>
      </w:pPr>
      <w:rPr/>
      <w:start w:val="1"/>
      <w:suff w:val="tab"/>
    </w:lvl>
    <w:lvl w:ilvl="7">
      <w:isLgl w:val="false"/>
      <w:lvlJc w:val="left"/>
      <w:lvlText w:val="%8."/>
      <w:numFmt w:val="decimal"/>
      <w:pPr>
        <w:pBdr/>
        <w:tabs>
          <w:tab w:val="num" w:leader="none" w:pos="5760"/>
        </w:tabs>
        <w:spacing/>
        <w:ind w:hanging="360" w:left="5760"/>
      </w:pPr>
      <w:rPr/>
      <w:start w:val="1"/>
      <w:suff w:val="tab"/>
    </w:lvl>
    <w:lvl w:ilvl="8">
      <w:isLgl w:val="false"/>
      <w:lvlJc w:val="left"/>
      <w:lvlText w:val="%9."/>
      <w:numFmt w:val="decimal"/>
      <w:pPr>
        <w:pBdr/>
        <w:tabs>
          <w:tab w:val="num" w:leader="none" w:pos="6480"/>
        </w:tabs>
        <w:spacing/>
        <w:ind w:hanging="360" w:left="6480"/>
      </w:pPr>
      <w:rPr/>
      <w:start w:val="1"/>
      <w:suff w:val="tab"/>
    </w:lvl>
  </w:abstractNum>
  <w:abstractNum w:abstractNumId="4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5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6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7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8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abstractNum w:abstractNumId="9">
    <w:lvl w:ilvl="0">
      <w:isLgl w:val="false"/>
      <w:lvlJc w:val="left"/>
      <w:lvlText w:val=""/>
      <w:numFmt w:val="bullet"/>
      <w:pPr>
        <w:pBdr/>
        <w:tabs>
          <w:tab w:val="num" w:leader="none" w:pos="720"/>
        </w:tabs>
        <w:spacing/>
        <w:ind w:hanging="360" w:left="720"/>
      </w:pPr>
      <w:rPr>
        <w:rFonts w:ascii="Symbol" w:hAnsi="Symbol"/>
        <w:sz w:val="20"/>
      </w:rPr>
      <w:start w:val="1"/>
      <w:suff w:val="tab"/>
    </w:lvl>
    <w:lvl w:ilvl="1">
      <w:isLgl w:val="false"/>
      <w:lvlJc w:val="left"/>
      <w:lvlText w:val="o"/>
      <w:numFmt w:val="bullet"/>
      <w:pPr>
        <w:pBdr/>
        <w:tabs>
          <w:tab w:val="num" w:leader="none" w:pos="1440"/>
        </w:tabs>
        <w:spacing/>
        <w:ind w:hanging="360" w:left="1440"/>
      </w:pPr>
      <w:rPr>
        <w:rFonts w:ascii="Courier New" w:hAnsi="Courier New"/>
        <w:sz w:val="20"/>
      </w:rPr>
      <w:start w:val="1"/>
      <w:suff w:val="tab"/>
    </w:lvl>
    <w:lvl w:ilvl="2">
      <w:isLgl w:val="false"/>
      <w:lvlJc w:val="left"/>
      <w:lvlText w:val=""/>
      <w:numFmt w:val="bullet"/>
      <w:pPr>
        <w:pBdr/>
        <w:tabs>
          <w:tab w:val="num" w:leader="none" w:pos="2160"/>
        </w:tabs>
        <w:spacing/>
        <w:ind w:hanging="360" w:left="2160"/>
      </w:pPr>
      <w:rPr>
        <w:rFonts w:ascii="Wingdings" w:hAnsi="Wingdings"/>
        <w:sz w:val="20"/>
      </w:rPr>
      <w:start w:val="1"/>
      <w:suff w:val="tab"/>
    </w:lvl>
    <w:lvl w:ilvl="3">
      <w:isLgl w:val="false"/>
      <w:lvlJc w:val="left"/>
      <w:lvlText w:val=""/>
      <w:numFmt w:val="bullet"/>
      <w:pPr>
        <w:pBdr/>
        <w:tabs>
          <w:tab w:val="num" w:leader="none" w:pos="2880"/>
        </w:tabs>
        <w:spacing/>
        <w:ind w:hanging="360" w:left="2880"/>
      </w:pPr>
      <w:rPr>
        <w:rFonts w:ascii="Wingdings" w:hAnsi="Wingdings"/>
        <w:sz w:val="20"/>
      </w:rPr>
      <w:start w:val="1"/>
      <w:suff w:val="tab"/>
    </w:lvl>
    <w:lvl w:ilvl="4">
      <w:isLgl w:val="false"/>
      <w:lvlJc w:val="left"/>
      <w:lvlText w:val=""/>
      <w:numFmt w:val="bullet"/>
      <w:pPr>
        <w:pBdr/>
        <w:tabs>
          <w:tab w:val="num" w:leader="none" w:pos="3600"/>
        </w:tabs>
        <w:spacing/>
        <w:ind w:hanging="360" w:left="3600"/>
      </w:pPr>
      <w:rPr>
        <w:rFonts w:ascii="Wingdings" w:hAnsi="Wingdings"/>
        <w:sz w:val="20"/>
      </w:rPr>
      <w:start w:val="1"/>
      <w:suff w:val="tab"/>
    </w:lvl>
    <w:lvl w:ilvl="5">
      <w:isLgl w:val="false"/>
      <w:lvlJc w:val="left"/>
      <w:lvlText w:val=""/>
      <w:numFmt w:val="bullet"/>
      <w:pPr>
        <w:pBdr/>
        <w:tabs>
          <w:tab w:val="num" w:leader="none" w:pos="4320"/>
        </w:tabs>
        <w:spacing/>
        <w:ind w:hanging="360" w:left="4320"/>
      </w:pPr>
      <w:rPr>
        <w:rFonts w:ascii="Wingdings" w:hAnsi="Wingdings"/>
        <w:sz w:val="20"/>
      </w:rPr>
      <w:start w:val="1"/>
      <w:suff w:val="tab"/>
    </w:lvl>
    <w:lvl w:ilvl="6">
      <w:isLgl w:val="false"/>
      <w:lvlJc w:val="left"/>
      <w:lvlText w:val=""/>
      <w:numFmt w:val="bullet"/>
      <w:pPr>
        <w:pBdr/>
        <w:tabs>
          <w:tab w:val="num" w:leader="none" w:pos="5040"/>
        </w:tabs>
        <w:spacing/>
        <w:ind w:hanging="360" w:left="5040"/>
      </w:pPr>
      <w:rPr>
        <w:rFonts w:ascii="Wingdings" w:hAnsi="Wingdings"/>
        <w:sz w:val="20"/>
      </w:rPr>
      <w:start w:val="1"/>
      <w:suff w:val="tab"/>
    </w:lvl>
    <w:lvl w:ilvl="7">
      <w:isLgl w:val="false"/>
      <w:lvlJc w:val="left"/>
      <w:lvlText w:val=""/>
      <w:numFmt w:val="bullet"/>
      <w:pPr>
        <w:pBdr/>
        <w:tabs>
          <w:tab w:val="num" w:leader="none" w:pos="5760"/>
        </w:tabs>
        <w:spacing/>
        <w:ind w:hanging="360" w:left="5760"/>
      </w:pPr>
      <w:rPr>
        <w:rFonts w:ascii="Wingdings" w:hAnsi="Wingdings"/>
        <w:sz w:val="20"/>
      </w:rPr>
      <w:start w:val="1"/>
      <w:suff w:val="tab"/>
    </w:lvl>
    <w:lvl w:ilvl="8">
      <w:isLgl w:val="false"/>
      <w:lvlJc w:val="left"/>
      <w:lvlText w:val=""/>
      <w:numFmt w:val="bullet"/>
      <w:pPr>
        <w:pBdr/>
        <w:tabs>
          <w:tab w:val="num" w:leader="none" w:pos="6480"/>
        </w:tabs>
        <w:spacing/>
        <w:ind w:hanging="360" w:left="6480"/>
      </w:pPr>
      <w:rPr>
        <w:rFonts w:ascii="Wingdings" w:hAnsi="Wingdings"/>
        <w:sz w:val="20"/>
      </w:rPr>
      <w:start w:val="1"/>
      <w:suff w:val="tab"/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2"/>
  </w:num>
  <w:num w:numId="5">
    <w:abstractNumId w:val="6"/>
  </w:num>
  <w:num w:numId="6">
    <w:abstractNumId w:val="7"/>
  </w:num>
  <w:num w:numId="7">
    <w:abstractNumId w:val="9"/>
  </w:num>
  <w:num w:numId="8">
    <w:abstractNumId w:val="4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0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">
    <w:name w:val="Table Grid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10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10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be5f2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3dddc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bf1d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a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be5f2" w:themeFill="accent1" w:themeFillTint="34"/>
        <w:tcBorders/>
      </w:tcPr>
    </w:tblStylePr>
    <w:tblStylePr w:type="band2Horz">
      <w:rPr>
        <w:rFonts w:ascii="Arial" w:hAnsi="Arial"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Horz">
      <w:rPr>
        <w:rFonts w:ascii="Arial" w:hAnsi="Arial"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Horz">
      <w:rPr>
        <w:rFonts w:ascii="Arial" w:hAnsi="Arial"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Horz">
      <w:rPr>
        <w:rFonts w:ascii="Arial" w:hAnsi="Arial"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0504d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9bbb59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8064a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a9796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c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3d69c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2cdd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2cdd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ac091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fac091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3dfee" w:themeFill="accent1" w:themeFillTint="40"/>
        <w:tcBorders/>
      </w:tcPr>
    </w:tblStylePr>
    <w:tblStylePr w:type="band2Horz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efd3d2" w:themeFill="accent2" w:themeFillTint="40"/>
        <w:tcBorders/>
      </w:tcPr>
    </w:tblStylePr>
    <w:tblStylePr w:type="band2Horz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6eed5" w:themeFill="accent3" w:themeFillTint="40"/>
        <w:tcBorders/>
      </w:tcPr>
    </w:tblStylePr>
    <w:tblStylePr w:type="band2Horz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fd8e8" w:themeFill="accent4" w:themeFillTint="40"/>
        <w:tcBorders/>
      </w:tcPr>
    </w:tblStylePr>
    <w:tblStylePr w:type="band2Horz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2eaf1" w:themeFill="accent5" w:themeFillTint="40"/>
        <w:tcBorders/>
      </w:tcPr>
    </w:tblStylePr>
    <w:tblStylePr w:type="band2Horz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de5d1" w:themeFill="accent6" w:themeFillTint="40"/>
        <w:tcBorders/>
      </w:tcPr>
    </w:tblStylePr>
    <w:tblStylePr w:type="band2Horz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8d7ea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3dddc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bf1d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5df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aee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10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dea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10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7"/>
    <w:next w:val="667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7"/>
    <w:next w:val="667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7"/>
    <w:next w:val="667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7"/>
    <w:next w:val="667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7"/>
    <w:next w:val="667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7"/>
    <w:next w:val="667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7"/>
    <w:next w:val="667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7"/>
    <w:next w:val="667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7"/>
    <w:next w:val="667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numbering" w:styleId="148" w:default="1">
    <w:name w:val="No List"/>
    <w:uiPriority w:val="99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7"/>
    <w:next w:val="667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7"/>
    <w:next w:val="667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7"/>
    <w:next w:val="667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64">
    <w:name w:val="List Paragraph"/>
    <w:basedOn w:val="667"/>
    <w:uiPriority w:val="34"/>
    <w:qFormat/>
    <w:pPr>
      <w:pBdr/>
      <w:spacing/>
      <w:ind w:left="720"/>
      <w:contextualSpacing w:val="true"/>
    </w:p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7"/>
    <w:next w:val="667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169">
    <w:name w:val="No Spacing"/>
    <w:basedOn w:val="667"/>
    <w:uiPriority w:val="1"/>
    <w:qFormat/>
    <w:pPr>
      <w:pBdr/>
      <w:spacing w:after="0" w:line="240" w:lineRule="auto"/>
      <w:ind/>
    </w:p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7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67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67"/>
    <w:next w:val="667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7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7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97">
    <w:name w:val="TOC Heading"/>
    <w:uiPriority w:val="39"/>
    <w:unhideWhenUsed/>
    <w:pPr>
      <w:pBdr/>
      <w:spacing/>
      <w:ind/>
    </w:pPr>
  </w:style>
  <w:style w:type="paragraph" w:styleId="198">
    <w:name w:val="table of figures"/>
    <w:basedOn w:val="667"/>
    <w:next w:val="667"/>
    <w:uiPriority w:val="99"/>
    <w:unhideWhenUsed/>
    <w:pPr>
      <w:pBdr/>
      <w:spacing w:after="0" w:afterAutospacing="0"/>
      <w:ind/>
    </w:pPr>
  </w:style>
  <w:style w:type="paragraph" w:styleId="667" w:default="1">
    <w:name w:val="Normal"/>
    <w:next w:val="667"/>
    <w:link w:val="667"/>
    <w:qFormat/>
    <w:pPr>
      <w:pBdr/>
      <w:spacing w:after="160" w:line="259" w:lineRule="auto"/>
      <w:ind/>
    </w:pPr>
    <w:rPr>
      <w:sz w:val="22"/>
      <w:szCs w:val="22"/>
      <w:lang w:val="ru-RU" w:eastAsia="en-US" w:bidi="ar-SA"/>
    </w:rPr>
  </w:style>
  <w:style w:type="paragraph" w:styleId="668">
    <w:name w:val="Заголовок 2"/>
    <w:basedOn w:val="667"/>
    <w:next w:val="667"/>
    <w:link w:val="688"/>
    <w:uiPriority w:val="9"/>
    <w:semiHidden/>
    <w:unhideWhenUsed/>
    <w:qFormat/>
    <w:pPr>
      <w:keepNext w:val="true"/>
      <w:pBdr/>
      <w:spacing w:after="60" w:before="240"/>
      <w:ind/>
      <w:outlineLvl w:val="1"/>
    </w:pPr>
    <w:rPr>
      <w:rFonts w:ascii="Calibri Light" w:hAnsi="Calibri Light" w:eastAsia="Times New Roman" w:cs="Times New Roman"/>
      <w:b/>
      <w:bCs/>
      <w:i/>
      <w:iCs/>
      <w:sz w:val="28"/>
      <w:szCs w:val="28"/>
    </w:rPr>
  </w:style>
  <w:style w:type="paragraph" w:styleId="669">
    <w:name w:val="Заголовок 3"/>
    <w:basedOn w:val="667"/>
    <w:next w:val="669"/>
    <w:link w:val="674"/>
    <w:uiPriority w:val="9"/>
    <w:qFormat/>
    <w:pPr>
      <w:pBdr/>
      <w:spacing w:after="100" w:afterAutospacing="1" w:before="100" w:beforeAutospacing="1" w:line="240" w:lineRule="auto"/>
      <w:ind/>
      <w:outlineLvl w:val="2"/>
    </w:pPr>
    <w:rPr>
      <w:rFonts w:ascii="Times New Roman" w:hAnsi="Times New Roman" w:eastAsia="Times New Roman"/>
      <w:b/>
      <w:bCs/>
      <w:sz w:val="27"/>
      <w:szCs w:val="27"/>
      <w:lang w:eastAsia="ru-RU"/>
    </w:rPr>
  </w:style>
  <w:style w:type="paragraph" w:styleId="670">
    <w:name w:val="Заголовок 4"/>
    <w:basedOn w:val="667"/>
    <w:next w:val="670"/>
    <w:link w:val="675"/>
    <w:uiPriority w:val="9"/>
    <w:qFormat/>
    <w:pPr>
      <w:pBdr/>
      <w:spacing w:after="100" w:afterAutospacing="1" w:before="100" w:beforeAutospacing="1" w:line="240" w:lineRule="auto"/>
      <w:ind/>
      <w:outlineLvl w:val="3"/>
    </w:pPr>
    <w:rPr>
      <w:rFonts w:ascii="Times New Roman" w:hAnsi="Times New Roman" w:eastAsia="Times New Roman"/>
      <w:b/>
      <w:bCs/>
      <w:sz w:val="24"/>
      <w:szCs w:val="24"/>
      <w:lang w:eastAsia="ru-RU"/>
    </w:rPr>
  </w:style>
  <w:style w:type="character" w:styleId="671">
    <w:name w:val="Основной шрифт абзаца"/>
    <w:next w:val="671"/>
    <w:link w:val="667"/>
    <w:uiPriority w:val="1"/>
    <w:semiHidden/>
    <w:unhideWhenUsed/>
    <w:pPr>
      <w:pBdr/>
      <w:spacing/>
      <w:ind/>
    </w:pPr>
  </w:style>
  <w:style w:type="table" w:styleId="672">
    <w:name w:val="Обычная таблица"/>
    <w:next w:val="672"/>
    <w:link w:val="667"/>
    <w:uiPriority w:val="99"/>
    <w:semiHidden/>
    <w:unhideWhenUsed/>
    <w:pPr>
      <w:pBdr/>
      <w:spacing/>
      <w:ind/>
    </w:pPr>
    <w:tblPr>
      <w:tblW w:w="0" w:type="auto"/>
      <w:tblInd w:w="0" w:type="dxa"/>
      <w:tblBorders/>
      <w:tblLayout w:type="fixed"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73">
    <w:name w:val="Нет списка"/>
    <w:next w:val="673"/>
    <w:link w:val="667"/>
    <w:uiPriority w:val="99"/>
    <w:semiHidden/>
    <w:unhideWhenUsed/>
    <w:pPr>
      <w:pBdr/>
      <w:spacing/>
      <w:ind/>
    </w:pPr>
  </w:style>
  <w:style w:type="character" w:styleId="674">
    <w:name w:val="Заголовок 3 Знак"/>
    <w:next w:val="674"/>
    <w:link w:val="669"/>
    <w:uiPriority w:val="9"/>
    <w:pPr>
      <w:pBdr/>
      <w:spacing/>
      <w:ind/>
    </w:pPr>
    <w:rPr>
      <w:rFonts w:ascii="Times New Roman" w:hAnsi="Times New Roman" w:eastAsia="Times New Roman"/>
      <w:b/>
      <w:bCs/>
      <w:sz w:val="27"/>
      <w:szCs w:val="27"/>
    </w:rPr>
  </w:style>
  <w:style w:type="character" w:styleId="675">
    <w:name w:val="Заголовок 4 Знак"/>
    <w:next w:val="675"/>
    <w:link w:val="670"/>
    <w:uiPriority w:val="9"/>
    <w:pPr>
      <w:pBdr/>
      <w:spacing/>
      <w:ind/>
    </w:pPr>
    <w:rPr>
      <w:rFonts w:ascii="Times New Roman" w:hAnsi="Times New Roman" w:eastAsia="Times New Roman"/>
      <w:b/>
      <w:bCs/>
      <w:sz w:val="24"/>
      <w:szCs w:val="24"/>
    </w:rPr>
  </w:style>
  <w:style w:type="paragraph" w:styleId="676">
    <w:name w:val="Обычный (веб)"/>
    <w:basedOn w:val="667"/>
    <w:next w:val="676"/>
    <w:link w:val="667"/>
    <w:uiPriority w:val="99"/>
    <w:semiHidden/>
    <w:unhideWhenUsed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677">
    <w:name w:val="Гиперссылка"/>
    <w:next w:val="677"/>
    <w:link w:val="667"/>
    <w:uiPriority w:val="99"/>
    <w:semiHidden/>
    <w:unhideWhenUsed/>
    <w:pPr>
      <w:pBdr/>
      <w:spacing/>
      <w:ind/>
    </w:pPr>
    <w:rPr>
      <w:color w:val="0000ff"/>
      <w:u w:val="single"/>
    </w:rPr>
  </w:style>
  <w:style w:type="paragraph" w:styleId="678">
    <w:name w:val="link"/>
    <w:basedOn w:val="667"/>
    <w:next w:val="678"/>
    <w:link w:val="667"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679">
    <w:name w:val="blockmorefirm"/>
    <w:basedOn w:val="667"/>
    <w:next w:val="679"/>
    <w:link w:val="667"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680">
    <w:name w:val="Строгий"/>
    <w:next w:val="680"/>
    <w:link w:val="667"/>
    <w:uiPriority w:val="22"/>
    <w:qFormat/>
    <w:pPr>
      <w:pBdr/>
      <w:spacing/>
      <w:ind/>
    </w:pPr>
    <w:rPr>
      <w:b/>
      <w:bCs/>
    </w:rPr>
  </w:style>
  <w:style w:type="paragraph" w:styleId="681">
    <w:name w:val="Верхний колонтитул"/>
    <w:basedOn w:val="667"/>
    <w:next w:val="681"/>
    <w:link w:val="682"/>
    <w:uiPriority w:val="99"/>
    <w:unhideWhenUsed/>
    <w:pPr>
      <w:pBdr/>
      <w:tabs>
        <w:tab w:val="center" w:leader="none" w:pos="4677"/>
        <w:tab w:val="right" w:leader="none" w:pos="9355"/>
      </w:tabs>
      <w:spacing/>
      <w:ind/>
    </w:pPr>
  </w:style>
  <w:style w:type="character" w:styleId="682">
    <w:name w:val="Верхний колонтитул Знак"/>
    <w:next w:val="682"/>
    <w:link w:val="681"/>
    <w:uiPriority w:val="99"/>
    <w:pPr>
      <w:pBdr/>
      <w:spacing/>
      <w:ind/>
    </w:pPr>
    <w:rPr>
      <w:sz w:val="22"/>
      <w:szCs w:val="22"/>
      <w:lang w:eastAsia="en-US"/>
    </w:rPr>
  </w:style>
  <w:style w:type="paragraph" w:styleId="683">
    <w:name w:val="Нижний колонтитул"/>
    <w:basedOn w:val="667"/>
    <w:next w:val="683"/>
    <w:link w:val="684"/>
    <w:uiPriority w:val="99"/>
    <w:unhideWhenUsed/>
    <w:pPr>
      <w:pBdr/>
      <w:tabs>
        <w:tab w:val="center" w:leader="none" w:pos="4677"/>
        <w:tab w:val="right" w:leader="none" w:pos="9355"/>
      </w:tabs>
      <w:spacing/>
      <w:ind/>
    </w:pPr>
  </w:style>
  <w:style w:type="character" w:styleId="684">
    <w:name w:val="Нижний колонтитул Знак"/>
    <w:next w:val="684"/>
    <w:link w:val="683"/>
    <w:uiPriority w:val="99"/>
    <w:pPr>
      <w:pBdr/>
      <w:spacing/>
      <w:ind/>
    </w:pPr>
    <w:rPr>
      <w:sz w:val="22"/>
      <w:szCs w:val="22"/>
      <w:lang w:eastAsia="en-US"/>
    </w:rPr>
  </w:style>
  <w:style w:type="paragraph" w:styleId="685">
    <w:name w:val="rev_ann"/>
    <w:basedOn w:val="667"/>
    <w:next w:val="685"/>
    <w:link w:val="667"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b/>
      <w:bCs/>
      <w:color w:val="000000"/>
      <w:sz w:val="24"/>
      <w:szCs w:val="24"/>
      <w:lang w:eastAsia="ru-RU"/>
    </w:rPr>
  </w:style>
  <w:style w:type="paragraph" w:styleId="686">
    <w:name w:val="Текст выноски"/>
    <w:basedOn w:val="667"/>
    <w:next w:val="686"/>
    <w:link w:val="687"/>
    <w:uiPriority w:val="99"/>
    <w:semiHidden/>
    <w:unhideWhenUsed/>
    <w:pPr>
      <w:pBdr/>
      <w:spacing w:after="0" w:line="240" w:lineRule="auto"/>
      <w:ind/>
    </w:pPr>
    <w:rPr>
      <w:rFonts w:ascii="Segoe UI" w:hAnsi="Segoe UI" w:cs="Segoe UI"/>
      <w:sz w:val="18"/>
      <w:szCs w:val="18"/>
    </w:rPr>
  </w:style>
  <w:style w:type="character" w:styleId="687">
    <w:name w:val="Текст выноски Знак"/>
    <w:next w:val="687"/>
    <w:link w:val="686"/>
    <w:uiPriority w:val="99"/>
    <w:semiHidden/>
    <w:pPr>
      <w:pBdr/>
      <w:spacing/>
      <w:ind/>
    </w:pPr>
    <w:rPr>
      <w:rFonts w:ascii="Segoe UI" w:hAnsi="Segoe UI" w:cs="Segoe UI"/>
      <w:sz w:val="18"/>
      <w:szCs w:val="18"/>
      <w:lang w:eastAsia="en-US"/>
    </w:rPr>
  </w:style>
  <w:style w:type="character" w:styleId="688">
    <w:name w:val="Заголовок 2 Знак"/>
    <w:next w:val="688"/>
    <w:link w:val="668"/>
    <w:uiPriority w:val="9"/>
    <w:semiHidden/>
    <w:pPr>
      <w:pBdr/>
      <w:spacing/>
      <w:ind/>
    </w:pPr>
    <w:rPr>
      <w:rFonts w:ascii="Calibri Light" w:hAnsi="Calibri Light" w:eastAsia="Times New Roman" w:cs="Times New Roman"/>
      <w:b/>
      <w:bCs/>
      <w:i/>
      <w:iCs/>
      <w:sz w:val="28"/>
      <w:szCs w:val="28"/>
      <w:lang w:eastAsia="en-US"/>
    </w:rPr>
  </w:style>
  <w:style w:type="character" w:styleId="689">
    <w:name w:val="apple-converted-space"/>
    <w:next w:val="689"/>
    <w:link w:val="667"/>
    <w:pPr>
      <w:pBdr/>
      <w:spacing/>
      <w:ind/>
    </w:pPr>
  </w:style>
  <w:style w:type="character" w:styleId="690">
    <w:name w:val="Выделение"/>
    <w:next w:val="690"/>
    <w:link w:val="667"/>
    <w:uiPriority w:val="20"/>
    <w:qFormat/>
    <w:pPr>
      <w:pBdr/>
      <w:spacing/>
      <w:ind/>
    </w:pPr>
    <w:rPr>
      <w:i/>
      <w:iCs/>
    </w:rPr>
  </w:style>
  <w:style w:type="paragraph" w:styleId="691">
    <w:name w:val="_paragraph_1nuxh_4"/>
    <w:basedOn w:val="667"/>
    <w:next w:val="691"/>
    <w:link w:val="667"/>
    <w:pPr>
      <w:pBdr/>
      <w:spacing w:after="100" w:afterAutospacing="1" w:before="100" w:beforeAutospacing="1" w:line="240" w:lineRule="auto"/>
      <w:ind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692">
    <w:name w:val="_nobr_fcwuz_1"/>
    <w:next w:val="692"/>
    <w:link w:val="667"/>
    <w:pPr>
      <w:pBdr/>
      <w:spacing/>
      <w:ind/>
    </w:pPr>
  </w:style>
  <w:style w:type="character" w:styleId="693">
    <w:name w:val="_wrapper_15264_67"/>
    <w:next w:val="693"/>
    <w:link w:val="667"/>
    <w:pPr>
      <w:pBdr/>
      <w:spacing/>
      <w:ind/>
    </w:pPr>
  </w:style>
  <w:style w:type="character" w:styleId="694">
    <w:name w:val="_icon_15264_4"/>
    <w:next w:val="694"/>
    <w:link w:val="667"/>
    <w:pPr>
      <w:pBdr/>
      <w:spacing/>
      <w:ind/>
    </w:pPr>
  </w:style>
  <w:style w:type="paragraph" w:styleId="695">
    <w:name w:val="Абзац списка"/>
    <w:basedOn w:val="667"/>
    <w:next w:val="695"/>
    <w:link w:val="696"/>
    <w:uiPriority w:val="34"/>
    <w:qFormat/>
    <w:pPr>
      <w:pBdr/>
      <w:spacing/>
      <w:ind w:left="720"/>
      <w:contextualSpacing w:val="true"/>
    </w:pPr>
  </w:style>
  <w:style w:type="character" w:styleId="696">
    <w:name w:val="Абзац списка Знак"/>
    <w:next w:val="696"/>
    <w:link w:val="695"/>
    <w:uiPriority w:val="34"/>
    <w:pPr>
      <w:pBdr/>
      <w:spacing/>
      <w:ind/>
    </w:pPr>
    <w:rPr>
      <w:sz w:val="22"/>
      <w:szCs w:val="22"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ONLYOFFICE/8.1.1.27</Application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Бавыкин Александр</dc:creator>
  <cp:revision>50</cp:revision>
  <dcterms:created xsi:type="dcterms:W3CDTF">2024-01-11T02:16:00Z</dcterms:created>
  <dcterms:modified xsi:type="dcterms:W3CDTF">2025-04-08T03:37:19Z</dcterms:modified>
  <cp:version>983040</cp:version>
</cp:coreProperties>
</file>