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6BE" w:rsidRPr="005E4337" w:rsidRDefault="00CC46B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CC46BE" w:rsidRPr="005E4337" w:rsidRDefault="00CC46BE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AB52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CC46BE" w:rsidRPr="009C1F3C" w:rsidRDefault="00AB52C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03</w:t>
                            </w:r>
                            <w:r w:rsidR="00CC46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CC46BE" w:rsidRPr="009C1F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  <w:bookmarkStart w:id="0" w:name="_GoBack"/>
                            <w:bookmarkEnd w:id="0"/>
                          </w:p>
                          <w:p w:rsidR="00CC46BE" w:rsidRDefault="00CC46BE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CC46BE" w:rsidRPr="005E4337" w:rsidRDefault="00CC46B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CC46BE" w:rsidRPr="005E4337" w:rsidRDefault="00CC46BE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AB52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CC46BE" w:rsidRPr="009C1F3C" w:rsidRDefault="00AB52C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03</w:t>
                      </w:r>
                      <w:r w:rsidR="00CC46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CC46BE" w:rsidRPr="009C1F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</w:t>
                      </w:r>
                      <w:bookmarkStart w:id="1" w:name="_GoBack"/>
                      <w:bookmarkEnd w:id="1"/>
                    </w:p>
                    <w:p w:rsidR="00CC46BE" w:rsidRDefault="00CC46BE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>
        <w:rPr>
          <w:sz w:val="28"/>
          <w:szCs w:val="28"/>
        </w:rPr>
        <w:t xml:space="preserve"> в год</w:t>
      </w:r>
      <w:r w:rsidRPr="002C1DF9">
        <w:rPr>
          <w:sz w:val="28"/>
          <w:szCs w:val="28"/>
        </w:rPr>
        <w:t xml:space="preserve">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CC46BE">
        <w:rPr>
          <w:sz w:val="28"/>
          <w:szCs w:val="28"/>
        </w:rPr>
        <w:t>246 000,00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CC46BE">
        <w:rPr>
          <w:sz w:val="28"/>
          <w:szCs w:val="28"/>
        </w:rPr>
        <w:t>222 000,00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CC46BE">
        <w:rPr>
          <w:sz w:val="28"/>
          <w:szCs w:val="28"/>
        </w:rPr>
        <w:t>468 000,00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AB52C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B753C2" w:rsidRPr="002C1DF9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851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Pr="002C1DF9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C1DF9" w:rsidTr="00460692">
        <w:tc>
          <w:tcPr>
            <w:tcW w:w="567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B753C2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851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53C2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C1DF9" w:rsidTr="001208D8">
        <w:tc>
          <w:tcPr>
            <w:tcW w:w="56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C1DF9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AB52C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C1DF9" w:rsidTr="00BD5A0C">
        <w:tc>
          <w:tcPr>
            <w:tcW w:w="53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  <w:r w:rsidR="00BD5A0C">
              <w:rPr>
                <w:rFonts w:ascii="Times New Roman" w:eastAsia="Calibri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BD5A0C" w:rsidRPr="002C1DF9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D5A0C" w:rsidRDefault="00BD5A0C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shd w:val="clear" w:color="auto" w:fill="auto"/>
          </w:tcPr>
          <w:p w:rsidR="00BD5A0C" w:rsidRPr="00C10045" w:rsidRDefault="00BD5A0C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BD5A0C" w:rsidRPr="00C10045" w:rsidRDefault="00BD5A0C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F15C30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F15C30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F15C30" w:rsidRPr="00C10045" w:rsidRDefault="00F15C30" w:rsidP="00F1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15C30" w:rsidRPr="00C10045" w:rsidRDefault="0066383C" w:rsidP="00F15C3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120 000,00</w:t>
            </w:r>
          </w:p>
        </w:tc>
      </w:tr>
      <w:tr w:rsidR="00BD5A0C" w:rsidRPr="002C1DF9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D5A0C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BD5A0C" w:rsidRDefault="00BD5A0C" w:rsidP="00F1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Default="00BD5A0C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BD5A0C" w:rsidRDefault="00BD5A0C" w:rsidP="00F15C3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BD5A0C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D5A0C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A0C" w:rsidRPr="00BD5A0C" w:rsidRDefault="00BD5A0C" w:rsidP="00BD5A0C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D5A0C" w:rsidRPr="00BD5A0C" w:rsidRDefault="00BD5A0C" w:rsidP="00BD5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BD5A0C" w:rsidRPr="002C1DF9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BD5A0C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5A0C" w:rsidRPr="00BD5A0C" w:rsidRDefault="00BD5A0C" w:rsidP="00BD5A0C">
            <w:pPr>
              <w:rPr>
                <w:rFonts w:ascii="Times New Roman" w:hAnsi="Times New Roman" w:cs="Times New Roman"/>
                <w:sz w:val="24"/>
              </w:rPr>
            </w:pPr>
            <w:r w:rsidRPr="00BD5A0C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1701" w:type="dxa"/>
            <w:shd w:val="clear" w:color="auto" w:fill="auto"/>
          </w:tcPr>
          <w:p w:rsidR="00BD5A0C" w:rsidRPr="00C10045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559" w:type="dxa"/>
            <w:shd w:val="clear" w:color="auto" w:fill="auto"/>
          </w:tcPr>
          <w:p w:rsidR="00BD5A0C" w:rsidRDefault="00BD5A0C" w:rsidP="00BD5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D5A0C" w:rsidRPr="00BD5A0C" w:rsidRDefault="00BD5A0C" w:rsidP="00BD5A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0C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AB52C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AB52C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Виброжалюзи в </w:t>
            </w: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категории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Госзакупки.ру. Официальная информация. Письма. Комментарии. Административная практика +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настольный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C1DF9" w:rsidRDefault="00A30F84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FB777B" w:rsidRPr="002C1DF9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9C1F3C" w:rsidRPr="002C1DF9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9C1F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органов местного самоуправления в сфере взаимодействия с управляющими компаниями и собственниками помещений: актуальные вопросы,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  <w:tr w:rsidR="004A25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570780" w:rsidRDefault="004A2597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AB52C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AB52C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AB52C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C1DF9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C1DF9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71581C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4A259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AB52C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AB52C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AB52C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AB52C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AB52C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AB52C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AB52C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AB52C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AB52C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4ED3" w:rsidRDefault="003D4ED3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BE" w:rsidRDefault="00CC46BE" w:rsidP="004E70E1">
      <w:pPr>
        <w:spacing w:after="0" w:line="240" w:lineRule="auto"/>
      </w:pPr>
      <w:r>
        <w:separator/>
      </w:r>
    </w:p>
  </w:endnote>
  <w:endnote w:type="continuationSeparator" w:id="0">
    <w:p w:rsidR="00CC46BE" w:rsidRDefault="00CC46BE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BE" w:rsidRDefault="00CC46BE" w:rsidP="004E70E1">
      <w:pPr>
        <w:spacing w:after="0" w:line="240" w:lineRule="auto"/>
      </w:pPr>
      <w:r>
        <w:separator/>
      </w:r>
    </w:p>
  </w:footnote>
  <w:footnote w:type="continuationSeparator" w:id="0">
    <w:p w:rsidR="00CC46BE" w:rsidRDefault="00CC46BE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CC46BE" w:rsidRDefault="00CC46B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CC">
          <w:rPr>
            <w:noProof/>
          </w:rPr>
          <w:t>2</w:t>
        </w:r>
        <w:r>
          <w:fldChar w:fldCharType="end"/>
        </w:r>
      </w:p>
    </w:sdtContent>
  </w:sdt>
  <w:p w:rsidR="00CC46BE" w:rsidRDefault="00CC46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17E0"/>
    <w:rsid w:val="007927FB"/>
    <w:rsid w:val="0079318F"/>
    <w:rsid w:val="0079362E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3640"/>
    <w:rsid w:val="00AB4CB6"/>
    <w:rsid w:val="00AB52CC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E4A2-A9B5-465F-B9B3-C2460589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</TotalTime>
  <Pages>46</Pages>
  <Words>11940</Words>
  <Characters>68060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252</cp:revision>
  <cp:lastPrinted>2023-11-07T00:28:00Z</cp:lastPrinted>
  <dcterms:created xsi:type="dcterms:W3CDTF">2019-04-05T08:20:00Z</dcterms:created>
  <dcterms:modified xsi:type="dcterms:W3CDTF">2023-11-07T00:28:00Z</dcterms:modified>
</cp:coreProperties>
</file>