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D6" w:rsidRDefault="001575D6" w:rsidP="00A151C3">
      <w:pPr>
        <w:ind w:left="5245" w:firstLine="284"/>
        <w:rPr>
          <w:sz w:val="28"/>
          <w:szCs w:val="28"/>
        </w:rPr>
      </w:pPr>
      <w:r>
        <w:rPr>
          <w:rFonts w:ascii="Arial" w:hAnsi="Arial" w:cs="Arial"/>
          <w:color w:val="444444"/>
        </w:rPr>
        <w:t xml:space="preserve">          </w:t>
      </w:r>
      <w:r w:rsidR="00A151C3">
        <w:rPr>
          <w:sz w:val="28"/>
          <w:szCs w:val="28"/>
        </w:rPr>
        <w:t>Приложение</w:t>
      </w:r>
    </w:p>
    <w:p w:rsidR="00A151C3" w:rsidRDefault="001575D6" w:rsidP="001575D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УТВЕРЖДЕНО</w:t>
      </w:r>
      <w:r w:rsidR="00A151C3">
        <w:rPr>
          <w:sz w:val="28"/>
          <w:szCs w:val="28"/>
        </w:rPr>
        <w:t xml:space="preserve"> </w:t>
      </w:r>
    </w:p>
    <w:p w:rsidR="00A151C3" w:rsidRDefault="00A151C3" w:rsidP="00A151C3">
      <w:pPr>
        <w:ind w:left="6237" w:hanging="708"/>
        <w:rPr>
          <w:sz w:val="28"/>
          <w:szCs w:val="28"/>
        </w:rPr>
      </w:pPr>
      <w:r>
        <w:rPr>
          <w:sz w:val="28"/>
          <w:szCs w:val="28"/>
        </w:rPr>
        <w:t xml:space="preserve">          приказ</w:t>
      </w:r>
      <w:r w:rsidR="001575D6">
        <w:rPr>
          <w:sz w:val="28"/>
          <w:szCs w:val="28"/>
        </w:rPr>
        <w:t>ом</w:t>
      </w:r>
      <w:r>
        <w:rPr>
          <w:sz w:val="28"/>
          <w:szCs w:val="28"/>
        </w:rPr>
        <w:t xml:space="preserve"> комитета по земельным ресурсам и землеустройству города Барнаула </w:t>
      </w:r>
    </w:p>
    <w:p w:rsidR="00A151C3" w:rsidRDefault="00A151C3" w:rsidP="00A151C3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</w:t>
      </w:r>
      <w:r w:rsidR="009542C0">
        <w:rPr>
          <w:sz w:val="28"/>
          <w:szCs w:val="28"/>
        </w:rPr>
        <w:t>19.12.2024</w:t>
      </w:r>
      <w:r>
        <w:rPr>
          <w:sz w:val="28"/>
          <w:szCs w:val="28"/>
        </w:rPr>
        <w:t xml:space="preserve"> №</w:t>
      </w:r>
      <w:r w:rsidR="009542C0">
        <w:rPr>
          <w:sz w:val="28"/>
          <w:szCs w:val="28"/>
        </w:rPr>
        <w:t>97р</w:t>
      </w:r>
    </w:p>
    <w:p w:rsidR="00A151C3" w:rsidRDefault="00A151C3" w:rsidP="00A151C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Программа</w:t>
      </w:r>
    </w:p>
    <w:p w:rsidR="00797699" w:rsidRPr="007A2B66" w:rsidRDefault="00F66723" w:rsidP="003C7732">
      <w:pPr>
        <w:autoSpaceDE w:val="0"/>
        <w:autoSpaceDN w:val="0"/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493962">
        <w:rPr>
          <w:b/>
          <w:sz w:val="28"/>
          <w:szCs w:val="28"/>
        </w:rPr>
        <w:t>5</w:t>
      </w:r>
      <w:r w:rsidRPr="007A2B66">
        <w:rPr>
          <w:b/>
          <w:sz w:val="28"/>
          <w:szCs w:val="28"/>
        </w:rPr>
        <w:t xml:space="preserve"> год при осуществлении муниципального земельного контроля на территории городского округа – города Барнаула Алтайского края</w:t>
      </w:r>
      <w:r w:rsidR="00797699" w:rsidRPr="007A2B66">
        <w:rPr>
          <w:b/>
          <w:sz w:val="28"/>
          <w:szCs w:val="28"/>
        </w:rPr>
        <w:t xml:space="preserve"> 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97699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ind w:firstLine="708"/>
        <w:jc w:val="both"/>
        <w:rPr>
          <w:color w:val="000000"/>
          <w:sz w:val="28"/>
          <w:szCs w:val="28"/>
        </w:rPr>
      </w:pPr>
      <w:r w:rsidRPr="007A2B66">
        <w:rPr>
          <w:color w:val="000000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93C1D" w:rsidRPr="007A2B66" w:rsidRDefault="00414755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П</w:t>
      </w:r>
      <w:r w:rsidR="00193C1D" w:rsidRPr="007A2B66">
        <w:rPr>
          <w:sz w:val="28"/>
          <w:szCs w:val="28"/>
          <w:shd w:val="clear" w:color="auto" w:fill="FFFFFF"/>
        </w:rPr>
        <w:t>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C1460E" w:rsidRPr="007A2B66">
        <w:rPr>
          <w:sz w:val="28"/>
          <w:szCs w:val="28"/>
          <w:shd w:val="clear" w:color="auto" w:fill="FFFFFF"/>
        </w:rPr>
        <w:t>, а также исполнение контролируемыми лицами решений, принимаемых по результатам контрольных мероприятий.</w:t>
      </w:r>
    </w:p>
    <w:p w:rsidR="00797699" w:rsidRPr="007A2B66" w:rsidRDefault="00797699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Объектами муниципального земельного контроля являются объекты земельных отношений </w:t>
      </w:r>
      <w:r w:rsidRPr="007A2B66">
        <w:rPr>
          <w:color w:val="000000"/>
          <w:sz w:val="28"/>
          <w:szCs w:val="28"/>
        </w:rPr>
        <w:t xml:space="preserve">(земля, земельные участки и их части) независимо от прав на них, расположенные в границах </w:t>
      </w:r>
      <w:r w:rsidRPr="007A2B66">
        <w:rPr>
          <w:sz w:val="28"/>
          <w:szCs w:val="28"/>
        </w:rPr>
        <w:t xml:space="preserve">городского округа - города Барнаула Алтайского края. </w:t>
      </w:r>
    </w:p>
    <w:p w:rsidR="00F62CB7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При проведении муниципального земельного контроля комитетом по земельным ресурсам и землеустройству города Барнаула осуществляется контроль за соблюдением:</w:t>
      </w:r>
    </w:p>
    <w:p w:rsidR="005E6F82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- </w:t>
      </w:r>
      <w:r w:rsidR="0033542F" w:rsidRPr="0033542F">
        <w:rPr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F62CB7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</w:t>
      </w:r>
      <w:r w:rsidR="0033542F" w:rsidRPr="0033542F">
        <w:rPr>
          <w:sz w:val="28"/>
          <w:szCs w:val="28"/>
        </w:rPr>
        <w:t xml:space="preserve">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3542F" w:rsidRPr="007A2B66" w:rsidRDefault="00F62CB7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</w:t>
      </w:r>
      <w:r w:rsidR="0033542F" w:rsidRPr="0033542F">
        <w:rPr>
          <w:sz w:val="28"/>
          <w:szCs w:val="28"/>
        </w:rPr>
        <w:t xml:space="preserve">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</w:t>
      </w:r>
      <w:r w:rsidR="005E6F82" w:rsidRPr="007A2B66">
        <w:rPr>
          <w:sz w:val="28"/>
          <w:szCs w:val="28"/>
        </w:rPr>
        <w:t>одничества, в указанных целях.</w:t>
      </w:r>
    </w:p>
    <w:p w:rsidR="00797699" w:rsidRPr="007A2B66" w:rsidRDefault="00797699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</w:t>
      </w:r>
      <w:r w:rsidRPr="007A2B66">
        <w:rPr>
          <w:color w:val="000000"/>
          <w:sz w:val="28"/>
          <w:szCs w:val="28"/>
        </w:rPr>
        <w:t>31 Федерального закона от 31.07.2020 №248-</w:t>
      </w:r>
      <w:r w:rsidRPr="007A2B66">
        <w:rPr>
          <w:color w:val="000000"/>
          <w:sz w:val="28"/>
          <w:szCs w:val="28"/>
        </w:rPr>
        <w:lastRenderedPageBreak/>
        <w:t xml:space="preserve">ФЗ «О государственном контроле (надзоре) и муниципальном контроле в Российской Федерации» </w:t>
      </w:r>
      <w:r w:rsidRPr="007A2B66">
        <w:rPr>
          <w:sz w:val="28"/>
          <w:szCs w:val="28"/>
        </w:rPr>
        <w:t>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830DE1" w:rsidRPr="00857414" w:rsidRDefault="00830DE1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Штатная численность должностных лиц комитета, уполномоченных осуществлять </w:t>
      </w:r>
      <w:r w:rsidRPr="00857414">
        <w:rPr>
          <w:sz w:val="28"/>
          <w:szCs w:val="28"/>
        </w:rPr>
        <w:t>муниципальный земельный контроль в 202</w:t>
      </w:r>
      <w:r w:rsidR="003F4FB0" w:rsidRPr="00857414">
        <w:rPr>
          <w:sz w:val="28"/>
          <w:szCs w:val="28"/>
        </w:rPr>
        <w:t>4</w:t>
      </w:r>
      <w:r w:rsidRPr="00857414">
        <w:rPr>
          <w:sz w:val="28"/>
          <w:szCs w:val="28"/>
        </w:rPr>
        <w:t xml:space="preserve"> году составляет 5 человек. </w:t>
      </w:r>
    </w:p>
    <w:p w:rsidR="007414C0" w:rsidRPr="00104A80" w:rsidRDefault="00797699" w:rsidP="00797699">
      <w:pPr>
        <w:ind w:firstLine="708"/>
        <w:jc w:val="both"/>
        <w:rPr>
          <w:sz w:val="28"/>
          <w:szCs w:val="28"/>
          <w:shd w:val="clear" w:color="auto" w:fill="FFFFFF"/>
        </w:rPr>
      </w:pPr>
      <w:r w:rsidRPr="00857414">
        <w:rPr>
          <w:sz w:val="28"/>
          <w:szCs w:val="28"/>
        </w:rPr>
        <w:t>С учетом установленн</w:t>
      </w:r>
      <w:r w:rsidR="00BC6B86" w:rsidRPr="00857414">
        <w:rPr>
          <w:sz w:val="28"/>
          <w:szCs w:val="28"/>
        </w:rPr>
        <w:t>ых</w:t>
      </w:r>
      <w:r w:rsidRPr="00857414">
        <w:rPr>
          <w:sz w:val="28"/>
          <w:szCs w:val="28"/>
        </w:rPr>
        <w:t xml:space="preserve"> Постановлением Правительства Российской Федерации от 1</w:t>
      </w:r>
      <w:r w:rsidRPr="001C3E8B">
        <w:rPr>
          <w:sz w:val="28"/>
          <w:szCs w:val="28"/>
        </w:rPr>
        <w:t xml:space="preserve">0.03.2022 №336 «Об особенностях организации и </w:t>
      </w:r>
      <w:r w:rsidRPr="00BC3926">
        <w:rPr>
          <w:sz w:val="28"/>
          <w:szCs w:val="28"/>
        </w:rPr>
        <w:t>осуществления государственного контроля (надзора), муниципального контроля»</w:t>
      </w:r>
      <w:r w:rsidR="00BC6B86" w:rsidRPr="00BC3926">
        <w:rPr>
          <w:sz w:val="28"/>
          <w:szCs w:val="28"/>
        </w:rPr>
        <w:t xml:space="preserve"> ограничений </w:t>
      </w:r>
      <w:r w:rsidRPr="00BC3926">
        <w:rPr>
          <w:sz w:val="28"/>
          <w:szCs w:val="28"/>
        </w:rPr>
        <w:t>на проведение контрольных мероприятий в 202</w:t>
      </w:r>
      <w:r w:rsidR="00BC3926" w:rsidRPr="00BC3926">
        <w:rPr>
          <w:sz w:val="28"/>
          <w:szCs w:val="28"/>
        </w:rPr>
        <w:t>4</w:t>
      </w:r>
      <w:r w:rsidRPr="00BC3926">
        <w:rPr>
          <w:sz w:val="28"/>
          <w:szCs w:val="28"/>
        </w:rPr>
        <w:t xml:space="preserve"> году, в рамках муниципального земельного контроля за 9 месяцев 202</w:t>
      </w:r>
      <w:r w:rsidR="00BC3926" w:rsidRPr="00BC3926">
        <w:rPr>
          <w:sz w:val="28"/>
          <w:szCs w:val="28"/>
        </w:rPr>
        <w:t>4</w:t>
      </w:r>
      <w:r w:rsidRPr="00BC3926">
        <w:rPr>
          <w:sz w:val="28"/>
          <w:szCs w:val="28"/>
        </w:rPr>
        <w:t xml:space="preserve"> года проведено </w:t>
      </w:r>
      <w:r w:rsidR="00BC3926" w:rsidRPr="00BC3926">
        <w:rPr>
          <w:sz w:val="28"/>
          <w:szCs w:val="28"/>
        </w:rPr>
        <w:t>71</w:t>
      </w:r>
      <w:r w:rsidR="00D058B2" w:rsidRPr="00BC3926">
        <w:rPr>
          <w:sz w:val="28"/>
          <w:szCs w:val="28"/>
        </w:rPr>
        <w:t xml:space="preserve"> (за </w:t>
      </w:r>
      <w:r w:rsidR="00BC3926" w:rsidRPr="00BC3926">
        <w:rPr>
          <w:sz w:val="28"/>
          <w:szCs w:val="28"/>
        </w:rPr>
        <w:t>9</w:t>
      </w:r>
      <w:r w:rsidR="00D058B2" w:rsidRPr="00BC3926">
        <w:rPr>
          <w:sz w:val="28"/>
          <w:szCs w:val="28"/>
        </w:rPr>
        <w:t xml:space="preserve"> месяцев 202</w:t>
      </w:r>
      <w:r w:rsidR="00BC3926" w:rsidRPr="00BC3926">
        <w:rPr>
          <w:sz w:val="28"/>
          <w:szCs w:val="28"/>
        </w:rPr>
        <w:t>3</w:t>
      </w:r>
      <w:r w:rsidR="00D058B2" w:rsidRPr="00BC3926">
        <w:rPr>
          <w:sz w:val="28"/>
          <w:szCs w:val="28"/>
        </w:rPr>
        <w:t xml:space="preserve"> – </w:t>
      </w:r>
      <w:r w:rsidR="00BC3926" w:rsidRPr="00BC3926">
        <w:rPr>
          <w:sz w:val="28"/>
          <w:szCs w:val="28"/>
        </w:rPr>
        <w:t>57</w:t>
      </w:r>
      <w:r w:rsidR="00D058B2" w:rsidRPr="00BC3926">
        <w:rPr>
          <w:sz w:val="28"/>
          <w:szCs w:val="28"/>
        </w:rPr>
        <w:t>)</w:t>
      </w:r>
      <w:r w:rsidRPr="00BC3926">
        <w:rPr>
          <w:sz w:val="28"/>
          <w:szCs w:val="28"/>
        </w:rPr>
        <w:t xml:space="preserve"> мероприяти</w:t>
      </w:r>
      <w:r w:rsidR="00BC3926" w:rsidRPr="00BC3926">
        <w:rPr>
          <w:sz w:val="28"/>
          <w:szCs w:val="28"/>
        </w:rPr>
        <w:t>е</w:t>
      </w:r>
      <w:r w:rsidRPr="00BC3926">
        <w:rPr>
          <w:sz w:val="28"/>
          <w:szCs w:val="28"/>
        </w:rPr>
        <w:t xml:space="preserve"> без взаимодействия с контролируемым лицом в форме выездного обследования, по результатам которых выявлено </w:t>
      </w:r>
      <w:r w:rsidR="00BC3926" w:rsidRPr="00BC3926">
        <w:rPr>
          <w:sz w:val="28"/>
          <w:szCs w:val="28"/>
        </w:rPr>
        <w:t>47</w:t>
      </w:r>
      <w:r w:rsidR="007414C0" w:rsidRPr="00BC3926">
        <w:rPr>
          <w:sz w:val="28"/>
          <w:szCs w:val="28"/>
        </w:rPr>
        <w:t xml:space="preserve"> нарушений: 3</w:t>
      </w:r>
      <w:r w:rsidR="00BC3926" w:rsidRPr="00BC3926">
        <w:rPr>
          <w:sz w:val="28"/>
          <w:szCs w:val="28"/>
        </w:rPr>
        <w:t>3</w:t>
      </w:r>
      <w:r w:rsidR="007414C0" w:rsidRPr="00BC3926">
        <w:rPr>
          <w:sz w:val="28"/>
          <w:szCs w:val="28"/>
        </w:rPr>
        <w:t xml:space="preserve"> - самовольное занятие </w:t>
      </w:r>
      <w:r w:rsidR="007414C0" w:rsidRPr="00011854">
        <w:rPr>
          <w:sz w:val="28"/>
          <w:szCs w:val="28"/>
        </w:rPr>
        <w:t>территории общего пользования и 1</w:t>
      </w:r>
      <w:r w:rsidR="00BC3926" w:rsidRPr="00011854">
        <w:rPr>
          <w:sz w:val="28"/>
          <w:szCs w:val="28"/>
        </w:rPr>
        <w:t>4</w:t>
      </w:r>
      <w:r w:rsidR="007414C0" w:rsidRPr="00011854">
        <w:rPr>
          <w:sz w:val="28"/>
          <w:szCs w:val="28"/>
        </w:rPr>
        <w:t xml:space="preserve"> – нецелевое использование земельного участка. </w:t>
      </w:r>
      <w:r w:rsidR="00011854" w:rsidRPr="00011854">
        <w:rPr>
          <w:sz w:val="28"/>
          <w:szCs w:val="28"/>
        </w:rPr>
        <w:t>О</w:t>
      </w:r>
      <w:r w:rsidR="002E5E5A" w:rsidRPr="00011854">
        <w:rPr>
          <w:sz w:val="28"/>
          <w:szCs w:val="28"/>
        </w:rPr>
        <w:t xml:space="preserve">бъявлено </w:t>
      </w:r>
      <w:r w:rsidR="00011854" w:rsidRPr="00011854">
        <w:rPr>
          <w:sz w:val="28"/>
          <w:szCs w:val="28"/>
        </w:rPr>
        <w:t>69</w:t>
      </w:r>
      <w:r w:rsidR="007414C0" w:rsidRPr="00011854">
        <w:rPr>
          <w:sz w:val="28"/>
          <w:szCs w:val="28"/>
        </w:rPr>
        <w:t xml:space="preserve"> предостережени</w:t>
      </w:r>
      <w:r w:rsidR="00011854" w:rsidRPr="00011854">
        <w:rPr>
          <w:sz w:val="28"/>
          <w:szCs w:val="28"/>
        </w:rPr>
        <w:t>й</w:t>
      </w:r>
      <w:r w:rsidR="007414C0" w:rsidRPr="00011854">
        <w:rPr>
          <w:sz w:val="28"/>
          <w:szCs w:val="28"/>
        </w:rPr>
        <w:t xml:space="preserve"> о</w:t>
      </w:r>
      <w:r w:rsidR="002E5E5A" w:rsidRPr="00011854">
        <w:rPr>
          <w:sz w:val="28"/>
          <w:szCs w:val="28"/>
        </w:rPr>
        <w:t xml:space="preserve"> </w:t>
      </w:r>
      <w:r w:rsidR="007414C0" w:rsidRPr="00011854">
        <w:rPr>
          <w:sz w:val="28"/>
          <w:szCs w:val="28"/>
          <w:shd w:val="clear" w:color="auto" w:fill="FFFFFF"/>
        </w:rPr>
        <w:t xml:space="preserve">недопустимости нарушения обязательных требований </w:t>
      </w:r>
      <w:r w:rsidR="002E5E5A" w:rsidRPr="00011854">
        <w:rPr>
          <w:sz w:val="28"/>
          <w:szCs w:val="28"/>
          <w:shd w:val="clear" w:color="auto" w:fill="FFFFFF"/>
        </w:rPr>
        <w:t>с</w:t>
      </w:r>
      <w:r w:rsidR="007414C0" w:rsidRPr="00011854">
        <w:rPr>
          <w:sz w:val="28"/>
          <w:szCs w:val="28"/>
          <w:shd w:val="clear" w:color="auto" w:fill="FFFFFF"/>
        </w:rPr>
        <w:t xml:space="preserve"> предл</w:t>
      </w:r>
      <w:r w:rsidR="002E5E5A" w:rsidRPr="00011854">
        <w:rPr>
          <w:sz w:val="28"/>
          <w:szCs w:val="28"/>
          <w:shd w:val="clear" w:color="auto" w:fill="FFFFFF"/>
        </w:rPr>
        <w:t xml:space="preserve">ожением </w:t>
      </w:r>
      <w:r w:rsidR="007414C0" w:rsidRPr="00104A80">
        <w:rPr>
          <w:sz w:val="28"/>
          <w:szCs w:val="28"/>
          <w:shd w:val="clear" w:color="auto" w:fill="FFFFFF"/>
        </w:rPr>
        <w:t>принять меры по обеспечению соблюдения обязательных требований.</w:t>
      </w:r>
    </w:p>
    <w:p w:rsidR="00326033" w:rsidRPr="00387952" w:rsidRDefault="00326033" w:rsidP="00797699">
      <w:pPr>
        <w:ind w:firstLine="708"/>
        <w:jc w:val="both"/>
        <w:rPr>
          <w:sz w:val="28"/>
          <w:szCs w:val="28"/>
        </w:rPr>
      </w:pPr>
      <w:r w:rsidRPr="00104A80">
        <w:rPr>
          <w:sz w:val="28"/>
          <w:szCs w:val="28"/>
          <w:shd w:val="clear" w:color="auto" w:fill="FFFFFF"/>
        </w:rPr>
        <w:t>Таким образом, количество проведенных</w:t>
      </w:r>
      <w:r w:rsidRPr="00104A80">
        <w:rPr>
          <w:sz w:val="28"/>
          <w:szCs w:val="28"/>
        </w:rPr>
        <w:t xml:space="preserve"> </w:t>
      </w:r>
      <w:r w:rsidRPr="00387952">
        <w:rPr>
          <w:sz w:val="28"/>
          <w:szCs w:val="28"/>
        </w:rPr>
        <w:t>контрольных мероприятий без взаимодействия с контролируемым лицом в форме выездного обследования за 9 месяцев 202</w:t>
      </w:r>
      <w:r w:rsidR="00763EAD" w:rsidRPr="00387952">
        <w:rPr>
          <w:sz w:val="28"/>
          <w:szCs w:val="28"/>
        </w:rPr>
        <w:t>4</w:t>
      </w:r>
      <w:r w:rsidRPr="00387952">
        <w:rPr>
          <w:sz w:val="28"/>
          <w:szCs w:val="28"/>
        </w:rPr>
        <w:t xml:space="preserve"> года</w:t>
      </w:r>
      <w:r w:rsidR="00C22F93" w:rsidRPr="00387952">
        <w:rPr>
          <w:sz w:val="28"/>
          <w:szCs w:val="28"/>
        </w:rPr>
        <w:t xml:space="preserve"> увеличилось на </w:t>
      </w:r>
      <w:r w:rsidR="00011854" w:rsidRPr="00387952">
        <w:rPr>
          <w:sz w:val="28"/>
          <w:szCs w:val="28"/>
        </w:rPr>
        <w:t>14</w:t>
      </w:r>
      <w:r w:rsidR="00C22F93" w:rsidRPr="00387952">
        <w:rPr>
          <w:sz w:val="28"/>
          <w:szCs w:val="28"/>
        </w:rPr>
        <w:t xml:space="preserve"> или </w:t>
      </w:r>
      <w:r w:rsidR="00387952" w:rsidRPr="00387952">
        <w:rPr>
          <w:sz w:val="28"/>
          <w:szCs w:val="28"/>
        </w:rPr>
        <w:t>10 %</w:t>
      </w:r>
      <w:r w:rsidR="00C22F93" w:rsidRPr="00387952">
        <w:rPr>
          <w:sz w:val="28"/>
          <w:szCs w:val="28"/>
        </w:rPr>
        <w:t>.</w:t>
      </w:r>
      <w:r w:rsidRPr="00387952">
        <w:rPr>
          <w:sz w:val="28"/>
          <w:szCs w:val="28"/>
        </w:rPr>
        <w:t xml:space="preserve"> </w:t>
      </w:r>
    </w:p>
    <w:p w:rsidR="00797699" w:rsidRPr="007A2B66" w:rsidRDefault="00797699" w:rsidP="00797699">
      <w:pPr>
        <w:ind w:firstLine="709"/>
        <w:jc w:val="both"/>
        <w:rPr>
          <w:sz w:val="28"/>
          <w:szCs w:val="28"/>
        </w:rPr>
      </w:pPr>
      <w:r w:rsidRPr="00387952">
        <w:rPr>
          <w:sz w:val="28"/>
          <w:szCs w:val="28"/>
        </w:rPr>
        <w:t xml:space="preserve">Основной проблемой, которая является причиной нарушений требований земельного законодательства Российской </w:t>
      </w:r>
      <w:r w:rsidRPr="007A2B66">
        <w:rPr>
          <w:sz w:val="28"/>
          <w:szCs w:val="28"/>
        </w:rPr>
        <w:t>Федерации, выявляемых контрольным органом, являются низкие знания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</w:t>
      </w:r>
    </w:p>
    <w:p w:rsidR="00797699" w:rsidRPr="007A2B66" w:rsidRDefault="00797699" w:rsidP="00797699">
      <w:pPr>
        <w:ind w:firstLine="70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Решением данной проблемы является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</w:t>
      </w:r>
      <w:r w:rsidR="00F84A21" w:rsidRPr="007A2B66">
        <w:rPr>
          <w:sz w:val="28"/>
          <w:szCs w:val="28"/>
        </w:rPr>
        <w:t>иципального земельного контроля, таких как информирование, консультирование, профилактический визит и объявление предостережения.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4F2B20" w:rsidRPr="00AF3EAC" w:rsidRDefault="00797699" w:rsidP="004F2B20">
      <w:pPr>
        <w:autoSpaceDE w:val="0"/>
        <w:autoSpaceDN w:val="0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Цели разработки Программы</w:t>
      </w:r>
      <w:r w:rsidR="00846CDD" w:rsidRPr="007A2B66">
        <w:rPr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D00D23">
        <w:rPr>
          <w:sz w:val="28"/>
          <w:szCs w:val="28"/>
        </w:rPr>
        <w:t>5</w:t>
      </w:r>
      <w:r w:rsidR="00846CDD" w:rsidRPr="007A2B66">
        <w:rPr>
          <w:sz w:val="28"/>
          <w:szCs w:val="28"/>
        </w:rPr>
        <w:t xml:space="preserve"> год при осуществлении муниципального земельного контроля на территории </w:t>
      </w:r>
      <w:r w:rsidR="00846CDD" w:rsidRPr="004F2B20">
        <w:rPr>
          <w:sz w:val="28"/>
          <w:szCs w:val="28"/>
        </w:rPr>
        <w:t>городского округа – города Барнаула Алтайского края (далее – Программа)</w:t>
      </w:r>
      <w:r w:rsidRPr="004F2B20">
        <w:rPr>
          <w:sz w:val="28"/>
          <w:szCs w:val="28"/>
        </w:rPr>
        <w:t xml:space="preserve"> и </w:t>
      </w:r>
      <w:r w:rsidRPr="00AF3EAC">
        <w:rPr>
          <w:sz w:val="28"/>
          <w:szCs w:val="28"/>
        </w:rPr>
        <w:t>проведение профилактической</w:t>
      </w:r>
      <w:r w:rsidR="00F570B9" w:rsidRPr="00AF3EAC">
        <w:rPr>
          <w:sz w:val="28"/>
          <w:szCs w:val="28"/>
        </w:rPr>
        <w:t xml:space="preserve"> </w:t>
      </w:r>
      <w:r w:rsidRPr="00AF3EAC">
        <w:rPr>
          <w:sz w:val="28"/>
          <w:szCs w:val="28"/>
        </w:rPr>
        <w:t>работы:</w:t>
      </w:r>
    </w:p>
    <w:p w:rsidR="00024BB0" w:rsidRPr="00AF3EAC" w:rsidRDefault="004F2B20" w:rsidP="00024BB0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AF3EAC">
        <w:rPr>
          <w:color w:val="000000"/>
          <w:sz w:val="28"/>
          <w:szCs w:val="28"/>
        </w:rPr>
        <w:t>-</w:t>
      </w:r>
      <w:r w:rsidR="00D57175">
        <w:rPr>
          <w:color w:val="000000"/>
          <w:sz w:val="28"/>
          <w:szCs w:val="28"/>
        </w:rPr>
        <w:t xml:space="preserve"> </w:t>
      </w:r>
      <w:r w:rsidRPr="004F2B20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F3EAC" w:rsidRPr="00AF3EAC" w:rsidRDefault="00AF3EAC" w:rsidP="00024BB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F3EAC">
        <w:rPr>
          <w:color w:val="000000"/>
          <w:sz w:val="28"/>
          <w:szCs w:val="28"/>
        </w:rPr>
        <w:t xml:space="preserve">- </w:t>
      </w:r>
      <w:r w:rsidR="004F2B20" w:rsidRPr="004F2B2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7699" w:rsidRPr="00AF3EAC" w:rsidRDefault="00AF3EAC" w:rsidP="00802A66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F3EAC">
        <w:rPr>
          <w:sz w:val="28"/>
          <w:szCs w:val="28"/>
        </w:rPr>
        <w:lastRenderedPageBreak/>
        <w:t xml:space="preserve">- </w:t>
      </w:r>
      <w:r w:rsidR="004F2B20" w:rsidRPr="004F2B20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24BB0" w:rsidRPr="00AF3EAC">
        <w:rPr>
          <w:color w:val="000000"/>
          <w:sz w:val="28"/>
          <w:szCs w:val="28"/>
        </w:rPr>
        <w:t>нности о способах их соблюдения;</w:t>
      </w:r>
      <w:r w:rsidR="00797699" w:rsidRPr="00AF3EAC">
        <w:rPr>
          <w:sz w:val="28"/>
          <w:szCs w:val="28"/>
        </w:rPr>
        <w:tab/>
      </w:r>
    </w:p>
    <w:p w:rsidR="00802A66" w:rsidRDefault="00797699" w:rsidP="00797699">
      <w:pPr>
        <w:ind w:left="59"/>
        <w:jc w:val="both"/>
        <w:rPr>
          <w:sz w:val="28"/>
          <w:szCs w:val="28"/>
        </w:rPr>
      </w:pPr>
      <w:r w:rsidRPr="00AF3EAC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</w:t>
      </w:r>
      <w:r w:rsidR="00802A66">
        <w:rPr>
          <w:sz w:val="28"/>
          <w:szCs w:val="28"/>
        </w:rPr>
        <w:t>;</w:t>
      </w:r>
    </w:p>
    <w:p w:rsidR="00802A66" w:rsidRPr="00AF3EAC" w:rsidRDefault="00802A66" w:rsidP="00802A66">
      <w:pPr>
        <w:ind w:left="59" w:firstLine="649"/>
        <w:jc w:val="both"/>
        <w:rPr>
          <w:sz w:val="28"/>
          <w:szCs w:val="28"/>
        </w:rPr>
      </w:pPr>
      <w:r w:rsidRPr="00AF3EAC">
        <w:rPr>
          <w:sz w:val="28"/>
          <w:szCs w:val="28"/>
        </w:rPr>
        <w:t>- повышение прозрачности системы муниципального контроля</w:t>
      </w:r>
      <w:r>
        <w:rPr>
          <w:sz w:val="28"/>
          <w:szCs w:val="28"/>
        </w:rPr>
        <w:t>.</w:t>
      </w:r>
    </w:p>
    <w:p w:rsidR="00797699" w:rsidRPr="007A2B66" w:rsidRDefault="00797699" w:rsidP="00797699">
      <w:pPr>
        <w:autoSpaceDE w:val="0"/>
        <w:autoSpaceDN w:val="0"/>
        <w:jc w:val="both"/>
        <w:rPr>
          <w:sz w:val="28"/>
          <w:szCs w:val="28"/>
        </w:rPr>
      </w:pPr>
      <w:r w:rsidRPr="00AF3EAC">
        <w:rPr>
          <w:sz w:val="28"/>
          <w:szCs w:val="28"/>
        </w:rPr>
        <w:tab/>
        <w:t>Проведение профилактических</w:t>
      </w:r>
      <w:r w:rsidRPr="007A2B66">
        <w:rPr>
          <w:sz w:val="28"/>
          <w:szCs w:val="28"/>
        </w:rPr>
        <w:t xml:space="preserve"> мероприятий Программы позволяет решить следующие задачи: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14520B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</w:t>
      </w:r>
      <w:r w:rsidR="0014520B" w:rsidRPr="007A2B66">
        <w:rPr>
          <w:sz w:val="28"/>
          <w:szCs w:val="28"/>
        </w:rPr>
        <w:t>;</w:t>
      </w:r>
    </w:p>
    <w:p w:rsidR="00797699" w:rsidRPr="007A2B66" w:rsidRDefault="0014520B" w:rsidP="0014520B">
      <w:pPr>
        <w:ind w:left="59" w:firstLine="64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</w:t>
      </w:r>
      <w:r w:rsidR="00797699" w:rsidRPr="007A2B66">
        <w:rPr>
          <w:sz w:val="28"/>
          <w:szCs w:val="28"/>
        </w:rPr>
        <w:t>.</w:t>
      </w:r>
    </w:p>
    <w:p w:rsidR="00797699" w:rsidRDefault="00797699" w:rsidP="00C22F93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  <w:bookmarkStart w:id="0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bookmarkEnd w:id="0"/>
    </w:p>
    <w:p w:rsidR="00797699" w:rsidRDefault="00797699" w:rsidP="00797699">
      <w:pPr>
        <w:pStyle w:val="ConsPlusTitle"/>
        <w:jc w:val="center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22"/>
        <w:gridCol w:w="3686"/>
        <w:gridCol w:w="1701"/>
        <w:gridCol w:w="1701"/>
      </w:tblGrid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22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797699" w:rsidRPr="00C23CAD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</w:tcPr>
          <w:p w:rsidR="00797699" w:rsidRPr="00FB2181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86" w:type="dxa"/>
          </w:tcPr>
          <w:p w:rsidR="00797699" w:rsidRPr="003F0D89" w:rsidRDefault="007E6214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</w:t>
            </w:r>
            <w:r w:rsidR="0058792D" w:rsidRPr="003F0D89">
              <w:rPr>
                <w:sz w:val="20"/>
                <w:szCs w:val="20"/>
              </w:rPr>
              <w:t>И</w:t>
            </w:r>
            <w:r w:rsidR="00797699" w:rsidRPr="003F0D89">
              <w:rPr>
                <w:sz w:val="20"/>
                <w:szCs w:val="20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Комитет по земельным ресурсам и землеустройству города Барнаула обязан размещать и поддерживать в актуальном состоянии на официальном сайте в сети «Интернет»: 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797699" w:rsidRPr="003F0D89" w:rsidRDefault="00797699" w:rsidP="00B0401E">
            <w:pPr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3) </w:t>
            </w:r>
            <w:hyperlink r:id="rId7" w:history="1">
              <w:r w:rsidRPr="003F0D89">
                <w:rPr>
                  <w:sz w:val="20"/>
                  <w:szCs w:val="20"/>
                </w:rPr>
                <w:t>перечень</w:t>
              </w:r>
            </w:hyperlink>
            <w:r w:rsidRPr="003F0D89">
              <w:rPr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3F0D89">
              <w:rPr>
                <w:sz w:val="20"/>
                <w:szCs w:val="20"/>
              </w:rPr>
              <w:lastRenderedPageBreak/>
              <w:t>обязательных требований, с текстами в действующей редакции;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247-ФЗ;</w:t>
            </w:r>
          </w:p>
          <w:p w:rsidR="00797699" w:rsidRPr="003F0D89" w:rsidRDefault="00BB6FBE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5) </w:t>
            </w:r>
            <w:r w:rsidR="00797699" w:rsidRPr="003F0D89">
              <w:rPr>
                <w:sz w:val="20"/>
                <w:szCs w:val="20"/>
              </w:rPr>
              <w:t xml:space="preserve">программу профилактики рисков причинения вреда; 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6</w:t>
            </w:r>
            <w:r w:rsidRPr="003F0D89">
              <w:rPr>
                <w:sz w:val="20"/>
                <w:szCs w:val="20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7</w:t>
            </w:r>
            <w:r w:rsidRPr="003F0D89">
              <w:rPr>
                <w:sz w:val="20"/>
                <w:szCs w:val="20"/>
              </w:rPr>
              <w:t xml:space="preserve">) сведения о способах получения консультаций по вопросам соблюдения обязательных требований; 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8</w:t>
            </w:r>
            <w:r w:rsidRPr="003F0D89">
              <w:rPr>
                <w:sz w:val="20"/>
                <w:szCs w:val="20"/>
              </w:rPr>
              <w:t>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797699" w:rsidRPr="003F0D89" w:rsidRDefault="00797699" w:rsidP="00436B1A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9</w:t>
            </w:r>
            <w:r w:rsidRPr="003F0D89">
              <w:rPr>
                <w:sz w:val="20"/>
                <w:szCs w:val="20"/>
              </w:rPr>
              <w:t>) доклад о муниципальном земельном контроле.</w:t>
            </w:r>
          </w:p>
        </w:tc>
        <w:tc>
          <w:tcPr>
            <w:tcW w:w="1701" w:type="dxa"/>
          </w:tcPr>
          <w:p w:rsidR="00797699" w:rsidRPr="00FB2181" w:rsidRDefault="00C22F93" w:rsidP="00C2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797699" w:rsidRPr="00A544E6" w:rsidRDefault="00797699" w:rsidP="00B0401E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:rsidR="00797699" w:rsidRPr="002406C2" w:rsidRDefault="00797699" w:rsidP="00B0401E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86" w:type="dxa"/>
          </w:tcPr>
          <w:p w:rsidR="005B666B" w:rsidRPr="003F0D89" w:rsidRDefault="003F0D8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  <w:shd w:val="clear" w:color="auto" w:fill="FFFFFF"/>
              </w:rPr>
              <w:t>  Консультирование может осуществляться должностными лицами Комитета по телефону, в письменной форме, посредством видео</w:t>
            </w:r>
            <w:r w:rsidR="00DB36CA">
              <w:rPr>
                <w:sz w:val="20"/>
                <w:szCs w:val="20"/>
                <w:shd w:val="clear" w:color="auto" w:fill="FFFFFF"/>
              </w:rPr>
              <w:t>-</w:t>
            </w:r>
            <w:r w:rsidRPr="003F0D89">
              <w:rPr>
                <w:sz w:val="20"/>
                <w:szCs w:val="20"/>
                <w:shd w:val="clear" w:color="auto" w:fill="FFFFFF"/>
              </w:rPr>
              <w:t>конференц</w:t>
            </w:r>
            <w:r w:rsidR="00B32B4C">
              <w:rPr>
                <w:sz w:val="20"/>
                <w:szCs w:val="20"/>
                <w:shd w:val="clear" w:color="auto" w:fill="FFFFFF"/>
              </w:rPr>
              <w:t>-</w:t>
            </w:r>
            <w:r w:rsidRPr="003F0D89">
              <w:rPr>
                <w:sz w:val="20"/>
                <w:szCs w:val="20"/>
                <w:shd w:val="clear" w:color="auto" w:fill="FFFFFF"/>
              </w:rPr>
              <w:t>связи, на личном приеме либо в ходе проведения профилактического мероприятия, контрольного мероприятия</w:t>
            </w:r>
            <w:r w:rsidR="00E95A4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97699" w:rsidRPr="003F0D89">
              <w:rPr>
                <w:sz w:val="20"/>
                <w:szCs w:val="20"/>
              </w:rPr>
              <w:t>по следующим вопросам: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797699" w:rsidRPr="003F0D89" w:rsidRDefault="00797699" w:rsidP="00DF4B61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порядок обжалования действий (бездействия) должностных лиц комитета по земельным ресурсам и землеустройству города Барнаула.</w:t>
            </w:r>
          </w:p>
        </w:tc>
        <w:tc>
          <w:tcPr>
            <w:tcW w:w="1701" w:type="dxa"/>
          </w:tcPr>
          <w:p w:rsidR="00797699" w:rsidRPr="00DB36CA" w:rsidRDefault="00B32B4C" w:rsidP="00B32B4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1701" w:type="dxa"/>
          </w:tcPr>
          <w:p w:rsidR="00797699" w:rsidRPr="00A544E6" w:rsidRDefault="00797699" w:rsidP="00B0401E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  <w:tr w:rsidR="00BC263B" w:rsidRPr="0038236B" w:rsidTr="005B666B">
        <w:tc>
          <w:tcPr>
            <w:tcW w:w="588" w:type="dxa"/>
          </w:tcPr>
          <w:p w:rsidR="00BC263B" w:rsidRDefault="00BC263B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22" w:type="dxa"/>
          </w:tcPr>
          <w:p w:rsidR="00BC263B" w:rsidRPr="001523AE" w:rsidRDefault="005B666B" w:rsidP="005B666B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686" w:type="dxa"/>
          </w:tcPr>
          <w:p w:rsidR="00BC263B" w:rsidRPr="003E4730" w:rsidRDefault="005B666B" w:rsidP="005B666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 </w:t>
            </w:r>
            <w:r w:rsidR="003E4730" w:rsidRPr="003E4730">
              <w:rPr>
                <w:sz w:val="20"/>
                <w:szCs w:val="20"/>
                <w:shd w:val="clear" w:color="auto" w:fill="FFFFFF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</w:t>
            </w:r>
            <w:r>
              <w:rPr>
                <w:sz w:val="20"/>
                <w:szCs w:val="20"/>
                <w:shd w:val="clear" w:color="auto" w:fill="FFFFFF"/>
              </w:rPr>
              <w:t>ных требований</w:t>
            </w:r>
            <w:r w:rsidR="003E4730" w:rsidRPr="003E4730">
              <w:rPr>
                <w:sz w:val="20"/>
                <w:szCs w:val="20"/>
                <w:shd w:val="clear" w:color="auto" w:fill="FFFFFF"/>
              </w:rPr>
              <w:t xml:space="preserve"> и предлагает принять меры по обеспечению соблюдения обязательных требований.</w:t>
            </w:r>
          </w:p>
        </w:tc>
        <w:tc>
          <w:tcPr>
            <w:tcW w:w="1701" w:type="dxa"/>
          </w:tcPr>
          <w:p w:rsidR="001C247D" w:rsidRDefault="00BC263B" w:rsidP="0093492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C263B">
              <w:rPr>
                <w:sz w:val="20"/>
                <w:szCs w:val="20"/>
                <w:lang w:eastAsia="en-US"/>
              </w:rPr>
              <w:t>Не позднее 30 календарных дней со дня получения</w:t>
            </w:r>
          </w:p>
          <w:p w:rsidR="00BC263B" w:rsidRPr="00BC263B" w:rsidRDefault="001C247D" w:rsidP="0093492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4730">
              <w:rPr>
                <w:sz w:val="20"/>
                <w:szCs w:val="20"/>
                <w:shd w:val="clear" w:color="auto" w:fill="FFFFFF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3E4730">
              <w:rPr>
                <w:sz w:val="20"/>
                <w:szCs w:val="20"/>
                <w:shd w:val="clear" w:color="auto" w:fill="FFFFFF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</w:tcPr>
          <w:p w:rsidR="00BC263B" w:rsidRPr="00A544E6" w:rsidRDefault="00BC263B" w:rsidP="00F44780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lastRenderedPageBreak/>
              <w:t>Отдел муниципального земельного контроля</w:t>
            </w:r>
          </w:p>
        </w:tc>
      </w:tr>
      <w:tr w:rsidR="00387631" w:rsidRPr="0038236B" w:rsidTr="00EC47AD">
        <w:tc>
          <w:tcPr>
            <w:tcW w:w="588" w:type="dxa"/>
          </w:tcPr>
          <w:p w:rsidR="00387631" w:rsidRDefault="00387631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22" w:type="dxa"/>
          </w:tcPr>
          <w:p w:rsidR="00387631" w:rsidRPr="00286CE8" w:rsidRDefault="00387631" w:rsidP="00EC47AD">
            <w:pPr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86CE8">
              <w:rPr>
                <w:sz w:val="18"/>
                <w:szCs w:val="18"/>
                <w:lang w:eastAsia="en-US"/>
              </w:rPr>
              <w:t>Профилактический визит</w:t>
            </w:r>
          </w:p>
        </w:tc>
        <w:tc>
          <w:tcPr>
            <w:tcW w:w="3686" w:type="dxa"/>
          </w:tcPr>
          <w:p w:rsidR="00387631" w:rsidRPr="00567656" w:rsidRDefault="00387631" w:rsidP="00B0401E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</w:t>
            </w:r>
            <w:r w:rsidRPr="00567656">
              <w:rPr>
                <w:sz w:val="20"/>
                <w:szCs w:val="20"/>
                <w:shd w:val="clear" w:color="auto" w:fill="FFFFFF"/>
              </w:rPr>
              <w:t>Профилактический визит проводится инспектором в случае поступления обращений (заявлений) граждан и организаций о возможных нарушениях требований земельного законодательства, в форме профилактической беседы по месту осуществления деятельности контролируемого лица либо путем использования видео-конференц-связи. </w:t>
            </w:r>
          </w:p>
        </w:tc>
        <w:tc>
          <w:tcPr>
            <w:tcW w:w="1701" w:type="dxa"/>
          </w:tcPr>
          <w:p w:rsidR="00387631" w:rsidRPr="00FB2181" w:rsidRDefault="00387631" w:rsidP="00F44780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387631" w:rsidRPr="00FB2181" w:rsidRDefault="00387631" w:rsidP="00F44780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387631" w:rsidRPr="00A544E6" w:rsidRDefault="00387631" w:rsidP="00F44780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</w:tbl>
    <w:p w:rsidR="005A6FEE" w:rsidRDefault="005A6FEE" w:rsidP="00797699">
      <w:pPr>
        <w:jc w:val="center"/>
        <w:rPr>
          <w:szCs w:val="28"/>
        </w:rPr>
      </w:pPr>
    </w:p>
    <w:p w:rsidR="001C247D" w:rsidRDefault="001C247D" w:rsidP="00797699">
      <w:pPr>
        <w:jc w:val="center"/>
        <w:rPr>
          <w:b/>
          <w:sz w:val="28"/>
          <w:szCs w:val="28"/>
        </w:rPr>
      </w:pPr>
    </w:p>
    <w:p w:rsidR="00436B1A" w:rsidRDefault="00436B1A" w:rsidP="00797699">
      <w:pPr>
        <w:jc w:val="center"/>
        <w:rPr>
          <w:b/>
          <w:sz w:val="28"/>
          <w:szCs w:val="28"/>
        </w:rPr>
      </w:pPr>
    </w:p>
    <w:p w:rsidR="00436B1A" w:rsidRDefault="00436B1A" w:rsidP="00797699">
      <w:pPr>
        <w:jc w:val="center"/>
        <w:rPr>
          <w:b/>
          <w:sz w:val="28"/>
          <w:szCs w:val="28"/>
        </w:rPr>
      </w:pPr>
    </w:p>
    <w:p w:rsidR="00797699" w:rsidRDefault="00797699" w:rsidP="00797699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9A5D8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рограммы </w:t>
      </w:r>
    </w:p>
    <w:p w:rsidR="0088382B" w:rsidRDefault="0088382B" w:rsidP="00797699">
      <w:pPr>
        <w:jc w:val="center"/>
        <w:rPr>
          <w:sz w:val="23"/>
          <w:szCs w:val="23"/>
        </w:rPr>
      </w:pPr>
    </w:p>
    <w:p w:rsidR="00797699" w:rsidRDefault="00797699" w:rsidP="00797699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 w:rsidR="009A5D82"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осуществляется муниципальный земельный контроль и включают в себя</w:t>
      </w:r>
      <w:r>
        <w:rPr>
          <w:sz w:val="28"/>
          <w:szCs w:val="28"/>
        </w:rPr>
        <w:t>: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797699" w:rsidRDefault="00797699" w:rsidP="00797699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797699" w:rsidRDefault="00797699" w:rsidP="00797699">
      <w:pPr>
        <w:ind w:firstLine="708"/>
        <w:jc w:val="both"/>
        <w:rPr>
          <w:sz w:val="28"/>
          <w:szCs w:val="28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sectPr w:rsidR="00AC3222" w:rsidRPr="00AC3222" w:rsidSect="00AC3222">
      <w:headerReference w:type="default" r:id="rId8"/>
      <w:pgSz w:w="11906" w:h="16838"/>
      <w:pgMar w:top="567" w:right="851" w:bottom="1134" w:left="70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8F" w:rsidRDefault="0069348F" w:rsidP="00DD7057">
      <w:r>
        <w:separator/>
      </w:r>
    </w:p>
  </w:endnote>
  <w:endnote w:type="continuationSeparator" w:id="0">
    <w:p w:rsidR="0069348F" w:rsidRDefault="0069348F" w:rsidP="00DD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8F" w:rsidRDefault="0069348F" w:rsidP="00DD7057">
      <w:r>
        <w:separator/>
      </w:r>
    </w:p>
  </w:footnote>
  <w:footnote w:type="continuationSeparator" w:id="0">
    <w:p w:rsidR="0069348F" w:rsidRDefault="0069348F" w:rsidP="00DD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341817"/>
      <w:docPartObj>
        <w:docPartGallery w:val="Page Numbers (Top of Page)"/>
        <w:docPartUnique/>
      </w:docPartObj>
    </w:sdtPr>
    <w:sdtEndPr/>
    <w:sdtContent>
      <w:p w:rsidR="008F431E" w:rsidRDefault="008F43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2C0">
          <w:rPr>
            <w:noProof/>
          </w:rPr>
          <w:t>5</w:t>
        </w:r>
        <w:r>
          <w:fldChar w:fldCharType="end"/>
        </w:r>
      </w:p>
    </w:sdtContent>
  </w:sdt>
  <w:p w:rsidR="008F431E" w:rsidRDefault="008F43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41AEE"/>
    <w:multiLevelType w:val="multilevel"/>
    <w:tmpl w:val="F03486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70"/>
    <w:rsid w:val="00010870"/>
    <w:rsid w:val="00011854"/>
    <w:rsid w:val="00013549"/>
    <w:rsid w:val="00024BB0"/>
    <w:rsid w:val="000315BE"/>
    <w:rsid w:val="00035214"/>
    <w:rsid w:val="00042F47"/>
    <w:rsid w:val="000506E9"/>
    <w:rsid w:val="00057B8E"/>
    <w:rsid w:val="0006192C"/>
    <w:rsid w:val="00077BDB"/>
    <w:rsid w:val="00082F7A"/>
    <w:rsid w:val="000A18E2"/>
    <w:rsid w:val="000B34A8"/>
    <w:rsid w:val="000C60D8"/>
    <w:rsid w:val="000D1151"/>
    <w:rsid w:val="00101D5B"/>
    <w:rsid w:val="00104A80"/>
    <w:rsid w:val="00116158"/>
    <w:rsid w:val="00136FE2"/>
    <w:rsid w:val="0014520B"/>
    <w:rsid w:val="00147E98"/>
    <w:rsid w:val="001523AE"/>
    <w:rsid w:val="001575D6"/>
    <w:rsid w:val="00187E0A"/>
    <w:rsid w:val="00193C1D"/>
    <w:rsid w:val="00196AA6"/>
    <w:rsid w:val="00196DA2"/>
    <w:rsid w:val="001C247D"/>
    <w:rsid w:val="001C3E8B"/>
    <w:rsid w:val="001D7139"/>
    <w:rsid w:val="001E6559"/>
    <w:rsid w:val="001F095F"/>
    <w:rsid w:val="001F3741"/>
    <w:rsid w:val="002354EB"/>
    <w:rsid w:val="0025337A"/>
    <w:rsid w:val="00257BF2"/>
    <w:rsid w:val="00286CE8"/>
    <w:rsid w:val="00291A7A"/>
    <w:rsid w:val="00296303"/>
    <w:rsid w:val="002A3914"/>
    <w:rsid w:val="002B22F3"/>
    <w:rsid w:val="002C4400"/>
    <w:rsid w:val="002E5E5A"/>
    <w:rsid w:val="002F18C4"/>
    <w:rsid w:val="002F2758"/>
    <w:rsid w:val="00304D07"/>
    <w:rsid w:val="003214CD"/>
    <w:rsid w:val="00326033"/>
    <w:rsid w:val="003321C7"/>
    <w:rsid w:val="0033542F"/>
    <w:rsid w:val="00340887"/>
    <w:rsid w:val="003418D4"/>
    <w:rsid w:val="00347511"/>
    <w:rsid w:val="003575F5"/>
    <w:rsid w:val="00387631"/>
    <w:rsid w:val="00387952"/>
    <w:rsid w:val="003B2B15"/>
    <w:rsid w:val="003C7732"/>
    <w:rsid w:val="003D01B2"/>
    <w:rsid w:val="003E4730"/>
    <w:rsid w:val="003E7B72"/>
    <w:rsid w:val="003F0D89"/>
    <w:rsid w:val="003F4FB0"/>
    <w:rsid w:val="00414755"/>
    <w:rsid w:val="004162BE"/>
    <w:rsid w:val="00425672"/>
    <w:rsid w:val="0042777B"/>
    <w:rsid w:val="004300C0"/>
    <w:rsid w:val="00436B1A"/>
    <w:rsid w:val="0044361E"/>
    <w:rsid w:val="0047057C"/>
    <w:rsid w:val="00493962"/>
    <w:rsid w:val="004977DB"/>
    <w:rsid w:val="004C116C"/>
    <w:rsid w:val="004C4E16"/>
    <w:rsid w:val="004C6CDA"/>
    <w:rsid w:val="004E1938"/>
    <w:rsid w:val="004E364D"/>
    <w:rsid w:val="004F2B20"/>
    <w:rsid w:val="004F4DA5"/>
    <w:rsid w:val="00516F39"/>
    <w:rsid w:val="00536125"/>
    <w:rsid w:val="00542F34"/>
    <w:rsid w:val="005433F0"/>
    <w:rsid w:val="00567656"/>
    <w:rsid w:val="0058792D"/>
    <w:rsid w:val="005A44B6"/>
    <w:rsid w:val="005A6FEE"/>
    <w:rsid w:val="005B2091"/>
    <w:rsid w:val="005B666B"/>
    <w:rsid w:val="005B695A"/>
    <w:rsid w:val="005C3D43"/>
    <w:rsid w:val="005E6F82"/>
    <w:rsid w:val="005E7834"/>
    <w:rsid w:val="0065297C"/>
    <w:rsid w:val="00660FF6"/>
    <w:rsid w:val="006655E3"/>
    <w:rsid w:val="0069348F"/>
    <w:rsid w:val="006A3F18"/>
    <w:rsid w:val="006A66DF"/>
    <w:rsid w:val="006B32E0"/>
    <w:rsid w:val="006C1606"/>
    <w:rsid w:val="006C4FE2"/>
    <w:rsid w:val="006C6DF1"/>
    <w:rsid w:val="006D4D0E"/>
    <w:rsid w:val="006D6028"/>
    <w:rsid w:val="006F1AFF"/>
    <w:rsid w:val="0070183E"/>
    <w:rsid w:val="00701DCD"/>
    <w:rsid w:val="00712FCC"/>
    <w:rsid w:val="007414C0"/>
    <w:rsid w:val="00750576"/>
    <w:rsid w:val="00763EAD"/>
    <w:rsid w:val="00797699"/>
    <w:rsid w:val="007A2B66"/>
    <w:rsid w:val="007B5029"/>
    <w:rsid w:val="007B56C6"/>
    <w:rsid w:val="007C3A02"/>
    <w:rsid w:val="007D7D73"/>
    <w:rsid w:val="007E47A6"/>
    <w:rsid w:val="007E6214"/>
    <w:rsid w:val="007F0DA8"/>
    <w:rsid w:val="007F2209"/>
    <w:rsid w:val="00802A66"/>
    <w:rsid w:val="00821B72"/>
    <w:rsid w:val="00830DE1"/>
    <w:rsid w:val="00841460"/>
    <w:rsid w:val="00846CDD"/>
    <w:rsid w:val="00857414"/>
    <w:rsid w:val="008717F3"/>
    <w:rsid w:val="0088382B"/>
    <w:rsid w:val="00891995"/>
    <w:rsid w:val="008A12B0"/>
    <w:rsid w:val="008A637E"/>
    <w:rsid w:val="008B2A87"/>
    <w:rsid w:val="008F0A2D"/>
    <w:rsid w:val="008F1E84"/>
    <w:rsid w:val="008F3478"/>
    <w:rsid w:val="008F431E"/>
    <w:rsid w:val="00932C4B"/>
    <w:rsid w:val="0093492F"/>
    <w:rsid w:val="009542C0"/>
    <w:rsid w:val="00971955"/>
    <w:rsid w:val="0098468F"/>
    <w:rsid w:val="009A5D82"/>
    <w:rsid w:val="009D3C29"/>
    <w:rsid w:val="009E3589"/>
    <w:rsid w:val="009F7D29"/>
    <w:rsid w:val="00A00C8E"/>
    <w:rsid w:val="00A04B65"/>
    <w:rsid w:val="00A151C3"/>
    <w:rsid w:val="00A159EA"/>
    <w:rsid w:val="00A20D6E"/>
    <w:rsid w:val="00A35B34"/>
    <w:rsid w:val="00A81AFE"/>
    <w:rsid w:val="00A9047F"/>
    <w:rsid w:val="00AC0475"/>
    <w:rsid w:val="00AC073B"/>
    <w:rsid w:val="00AC3222"/>
    <w:rsid w:val="00AD20E4"/>
    <w:rsid w:val="00AD4C44"/>
    <w:rsid w:val="00AE2D01"/>
    <w:rsid w:val="00AF3EAC"/>
    <w:rsid w:val="00B01B66"/>
    <w:rsid w:val="00B01BD5"/>
    <w:rsid w:val="00B06F0E"/>
    <w:rsid w:val="00B32B4C"/>
    <w:rsid w:val="00B37B3E"/>
    <w:rsid w:val="00B64D01"/>
    <w:rsid w:val="00B81FFA"/>
    <w:rsid w:val="00B91B71"/>
    <w:rsid w:val="00B94914"/>
    <w:rsid w:val="00BB6FBE"/>
    <w:rsid w:val="00BC1A40"/>
    <w:rsid w:val="00BC263B"/>
    <w:rsid w:val="00BC3926"/>
    <w:rsid w:val="00BC6B86"/>
    <w:rsid w:val="00BE6A6D"/>
    <w:rsid w:val="00BF34F0"/>
    <w:rsid w:val="00C02802"/>
    <w:rsid w:val="00C1460E"/>
    <w:rsid w:val="00C22F93"/>
    <w:rsid w:val="00C463D9"/>
    <w:rsid w:val="00C47953"/>
    <w:rsid w:val="00C6537F"/>
    <w:rsid w:val="00C66A5D"/>
    <w:rsid w:val="00C94BF8"/>
    <w:rsid w:val="00CA427D"/>
    <w:rsid w:val="00CB2641"/>
    <w:rsid w:val="00CB44D8"/>
    <w:rsid w:val="00D00D23"/>
    <w:rsid w:val="00D058B2"/>
    <w:rsid w:val="00D14DD0"/>
    <w:rsid w:val="00D16BAE"/>
    <w:rsid w:val="00D2773D"/>
    <w:rsid w:val="00D3574F"/>
    <w:rsid w:val="00D40488"/>
    <w:rsid w:val="00D57175"/>
    <w:rsid w:val="00D867EE"/>
    <w:rsid w:val="00D95B24"/>
    <w:rsid w:val="00DA06D5"/>
    <w:rsid w:val="00DB36CA"/>
    <w:rsid w:val="00DD4683"/>
    <w:rsid w:val="00DD58DD"/>
    <w:rsid w:val="00DD595A"/>
    <w:rsid w:val="00DD7057"/>
    <w:rsid w:val="00DF1B58"/>
    <w:rsid w:val="00DF4B61"/>
    <w:rsid w:val="00E05A4D"/>
    <w:rsid w:val="00E17BF7"/>
    <w:rsid w:val="00E42F3B"/>
    <w:rsid w:val="00E672BB"/>
    <w:rsid w:val="00E7655B"/>
    <w:rsid w:val="00E82662"/>
    <w:rsid w:val="00E91FA4"/>
    <w:rsid w:val="00E95A4C"/>
    <w:rsid w:val="00EA3218"/>
    <w:rsid w:val="00EC47AD"/>
    <w:rsid w:val="00F11A2D"/>
    <w:rsid w:val="00F13DBD"/>
    <w:rsid w:val="00F157FF"/>
    <w:rsid w:val="00F219B1"/>
    <w:rsid w:val="00F3051A"/>
    <w:rsid w:val="00F4095E"/>
    <w:rsid w:val="00F570B9"/>
    <w:rsid w:val="00F62CB7"/>
    <w:rsid w:val="00F66723"/>
    <w:rsid w:val="00F747C1"/>
    <w:rsid w:val="00F75357"/>
    <w:rsid w:val="00F84A21"/>
    <w:rsid w:val="00FC6415"/>
    <w:rsid w:val="00FE67E5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6C1ED-B8E4-4BBE-90D9-0035E776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C073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AC0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C4FE2"/>
    <w:pPr>
      <w:spacing w:after="121"/>
    </w:pPr>
  </w:style>
  <w:style w:type="paragraph" w:styleId="a6">
    <w:name w:val="header"/>
    <w:basedOn w:val="a"/>
    <w:link w:val="a7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C440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C4400"/>
    <w:pPr>
      <w:spacing w:before="100" w:beforeAutospacing="1" w:after="100" w:afterAutospacing="1"/>
    </w:pPr>
  </w:style>
  <w:style w:type="table" w:styleId="aa">
    <w:name w:val="Table Grid"/>
    <w:basedOn w:val="a1"/>
    <w:rsid w:val="00D95B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D95B2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9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75857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Евгения Константиновна  Борисова</cp:lastModifiedBy>
  <cp:revision>3</cp:revision>
  <cp:lastPrinted>2022-07-06T07:11:00Z</cp:lastPrinted>
  <dcterms:created xsi:type="dcterms:W3CDTF">2024-12-19T03:07:00Z</dcterms:created>
  <dcterms:modified xsi:type="dcterms:W3CDTF">2024-12-19T03:07:00Z</dcterms:modified>
</cp:coreProperties>
</file>