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Приложение </w:t>
      </w:r>
      <w:r w:rsidR="009B17D2">
        <w:rPr>
          <w:szCs w:val="28"/>
        </w:rPr>
        <w:t>1</w:t>
      </w:r>
      <w:r w:rsidRPr="007A0CC0">
        <w:rPr>
          <w:szCs w:val="28"/>
        </w:rPr>
        <w:t xml:space="preserve"> </w:t>
      </w:r>
    </w:p>
    <w:p w:rsidR="007A0CC0" w:rsidRPr="007A0CC0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к постановлению </w:t>
      </w:r>
    </w:p>
    <w:p w:rsidR="00382100" w:rsidRDefault="007A0CC0" w:rsidP="0038210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r w:rsidRPr="007A0CC0">
        <w:rPr>
          <w:szCs w:val="28"/>
        </w:rPr>
        <w:t xml:space="preserve">администрации города </w:t>
      </w:r>
    </w:p>
    <w:p w:rsidR="007A0CC0" w:rsidRDefault="00382100" w:rsidP="00382100">
      <w:pPr>
        <w:widowControl w:val="0"/>
        <w:autoSpaceDE w:val="0"/>
        <w:autoSpaceDN w:val="0"/>
        <w:adjustRightInd w:val="0"/>
        <w:spacing w:after="0" w:line="240" w:lineRule="auto"/>
        <w:ind w:left="5103" w:right="-2"/>
        <w:outlineLvl w:val="1"/>
        <w:rPr>
          <w:szCs w:val="28"/>
        </w:rPr>
      </w:pPr>
      <w:bookmarkStart w:id="0" w:name="_GoBack"/>
      <w:r>
        <w:rPr>
          <w:szCs w:val="28"/>
        </w:rPr>
        <w:t>от 12.02.2020 №236</w:t>
      </w:r>
    </w:p>
    <w:bookmarkEnd w:id="0"/>
    <w:p w:rsidR="00EC06FF" w:rsidRDefault="00EC06FF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ПАСПОРТ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муниципальной программы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  <w:r w:rsidRPr="00CA1036">
        <w:rPr>
          <w:szCs w:val="28"/>
        </w:rPr>
        <w:t>«Управление муниципальными финансами города Барнаула</w:t>
      </w:r>
      <w:r w:rsidRPr="00CA1036">
        <w:rPr>
          <w:szCs w:val="28"/>
        </w:rPr>
        <w:br/>
        <w:t>на 2018-2023 годы» (далее - Программа)</w:t>
      </w:r>
    </w:p>
    <w:p w:rsidR="007A0CC0" w:rsidRPr="00CA1036" w:rsidRDefault="007A0CC0" w:rsidP="007A0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  <w:highlight w:val="yellow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7196"/>
      </w:tblGrid>
      <w:tr w:rsidR="007A0CC0" w:rsidRPr="00CA1036" w:rsidTr="00231573">
        <w:trPr>
          <w:trHeight w:val="1026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Ответственный исполнитель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Комитет по финансам, налоговой и кредитной политике города Барнаула</w:t>
            </w:r>
          </w:p>
        </w:tc>
      </w:tr>
      <w:tr w:rsidR="007A0CC0" w:rsidRPr="00CA1036" w:rsidTr="00231573">
        <w:trPr>
          <w:trHeight w:val="701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Соисполнители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587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Участники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606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Подпрограммы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1000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A0CC0" w:rsidRPr="00CA1036" w:rsidTr="00231573">
        <w:trPr>
          <w:trHeight w:val="635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Цель</w:t>
            </w:r>
            <w:r>
              <w:rPr>
                <w:szCs w:val="28"/>
              </w:rPr>
              <w:t xml:space="preserve">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Обеспечение сбалансированности и устойчивости бюджета города Барнаула</w:t>
            </w:r>
          </w:p>
        </w:tc>
      </w:tr>
      <w:tr w:rsidR="007A0CC0" w:rsidRPr="00CA1036" w:rsidTr="00231573">
        <w:trPr>
          <w:trHeight w:val="1330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качества управления бюджетным процессом в городе Барнауле;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повышение открытости и прозрачности бюджета города и  бюджетного процесса для общества</w:t>
            </w:r>
          </w:p>
        </w:tc>
      </w:tr>
      <w:tr w:rsidR="007A0CC0" w:rsidRPr="00CA1036" w:rsidTr="00231573">
        <w:trPr>
          <w:trHeight w:val="1845"/>
          <w:tblCellSpacing w:w="5" w:type="nil"/>
        </w:trPr>
        <w:tc>
          <w:tcPr>
            <w:tcW w:w="2160" w:type="dxa"/>
          </w:tcPr>
          <w:p w:rsidR="007A0CC0" w:rsidRPr="00CA1036" w:rsidRDefault="007F19AC" w:rsidP="007A0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7A0CC0">
              <w:rPr>
                <w:szCs w:val="28"/>
              </w:rPr>
              <w:t>ндикаторы П</w:t>
            </w:r>
            <w:r w:rsidR="007A0CC0"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Динамика поступления налоговых и неналоговых доходов бюджета города (без учета доходов от продажи материальных и нематериальных активов, от компенсации затрат бюджетов городских округов);</w:t>
            </w:r>
          </w:p>
          <w:p w:rsidR="007A0CC0" w:rsidRPr="00CA1036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доля расходов, сформированных в рамках муниципальных программ, в общем объеме бюджета города;</w:t>
            </w:r>
          </w:p>
          <w:p w:rsidR="007A0CC0" w:rsidRPr="00CA1036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 xml:space="preserve">доля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CA1036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CA1036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контроля;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lastRenderedPageBreak/>
              <w:t>соблюдение установленных Бюджетным кодексом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 xml:space="preserve">количество публикаций </w:t>
            </w:r>
            <w:r>
              <w:t>о бюджете и бюджетном процессе</w:t>
            </w:r>
            <w:r w:rsidRPr="00CA1036">
              <w:rPr>
                <w:szCs w:val="28"/>
              </w:rPr>
              <w:t xml:space="preserve"> в средствах массовой информации и сети Интернет</w:t>
            </w:r>
          </w:p>
        </w:tc>
      </w:tr>
      <w:tr w:rsidR="007A0CC0" w:rsidRPr="00CA1036" w:rsidTr="00231573">
        <w:trPr>
          <w:trHeight w:val="880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Сроки и этапы реализации 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A0CC0" w:rsidRPr="00CA1036" w:rsidRDefault="007A0CC0" w:rsidP="0023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szCs w:val="28"/>
              </w:rPr>
              <w:t>2018-2023 годы без деления на этапы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7A0CC0" w:rsidRPr="00CA1036" w:rsidTr="00231573">
        <w:trPr>
          <w:trHeight w:val="4833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 xml:space="preserve">Объемы финансирования </w:t>
            </w:r>
            <w:r>
              <w:rPr>
                <w:szCs w:val="28"/>
              </w:rPr>
              <w:t>П</w:t>
            </w:r>
            <w:r w:rsidRPr="00CA1036">
              <w:rPr>
                <w:szCs w:val="28"/>
              </w:rPr>
              <w:t>рограммы</w:t>
            </w:r>
          </w:p>
        </w:tc>
        <w:tc>
          <w:tcPr>
            <w:tcW w:w="7196" w:type="dxa"/>
          </w:tcPr>
          <w:p w:rsidR="007F19AC" w:rsidRPr="007F19AC" w:rsidRDefault="007F19AC" w:rsidP="00ED29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Общий объем финансирования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Программы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 составляет 324 176,7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53 805,9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55 124,7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54 682,7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56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994,6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56 994,6 тыс. рублей</w:t>
            </w:r>
            <w:r w:rsidR="00F34F6B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 xml:space="preserve">в том числе за счет средств краевого бюджета – </w:t>
            </w:r>
            <w:r w:rsidR="00760840">
              <w:rPr>
                <w:rFonts w:eastAsia="Times New Roman" w:cs="Calibri"/>
                <w:szCs w:val="28"/>
                <w:lang w:eastAsia="ru-RU"/>
              </w:rPr>
              <w:t xml:space="preserve">                  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4 677,3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4 677,3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0,0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0,0 тыс. рублей</w:t>
            </w:r>
            <w:r w:rsidR="00F34F6B">
              <w:rPr>
                <w:rFonts w:eastAsia="Times New Roman" w:cs="Calibri"/>
                <w:szCs w:val="28"/>
                <w:lang w:eastAsia="ru-RU"/>
              </w:rPr>
              <w:t>,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в том числе за счет средств городского бюджета – 319 499,4 тыс. рублей, в том числе по годам: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2018 год – 46 574,2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2019 год – 49 128,6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2020 год – 55 124,7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2021 год – 54 682,7 тыс. рублей;</w:t>
            </w:r>
          </w:p>
          <w:p w:rsidR="007F19AC" w:rsidRPr="007F19AC" w:rsidRDefault="007F19AC" w:rsidP="007F19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szCs w:val="28"/>
                <w:lang w:eastAsia="ru-RU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2022 год – 56</w:t>
            </w:r>
            <w:r w:rsidR="00ED2971" w:rsidRPr="007F19AC">
              <w:rPr>
                <w:rFonts w:eastAsia="Times New Roman" w:cs="Calibri"/>
                <w:szCs w:val="28"/>
                <w:lang w:eastAsia="ru-RU"/>
              </w:rPr>
              <w:t> </w:t>
            </w:r>
            <w:r w:rsidRPr="007F19AC">
              <w:rPr>
                <w:rFonts w:eastAsia="Times New Roman" w:cs="Calibri"/>
                <w:szCs w:val="28"/>
                <w:lang w:eastAsia="ru-RU"/>
              </w:rPr>
              <w:t>994,6 тыс. рублей;</w:t>
            </w:r>
          </w:p>
          <w:p w:rsidR="007A0CC0" w:rsidRPr="00CA1036" w:rsidRDefault="007F19AC" w:rsidP="007F1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7F19AC">
              <w:rPr>
                <w:rFonts w:eastAsia="Times New Roman" w:cs="Calibri"/>
                <w:szCs w:val="28"/>
                <w:lang w:eastAsia="ru-RU"/>
              </w:rPr>
              <w:t>2023 год – 56 994,6 тыс. рублей</w:t>
            </w:r>
            <w:r>
              <w:rPr>
                <w:rFonts w:eastAsia="Times New Roman" w:cs="Calibri"/>
                <w:szCs w:val="28"/>
                <w:lang w:eastAsia="ru-RU"/>
              </w:rPr>
              <w:t>.</w:t>
            </w:r>
          </w:p>
          <w:p w:rsidR="007A0CC0" w:rsidRPr="00CA1036" w:rsidRDefault="007A0CC0" w:rsidP="002315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Реализация мероприятий в рамках Программы является расходным обязательством городского округа – города Барнаула Алтайского края.</w:t>
            </w:r>
          </w:p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CA1036">
              <w:rPr>
                <w:rFonts w:eastAsia="Times New Roman"/>
                <w:szCs w:val="28"/>
                <w:lang w:eastAsia="ru-RU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на плановый период</w:t>
            </w:r>
          </w:p>
        </w:tc>
      </w:tr>
      <w:tr w:rsidR="007A0CC0" w:rsidRPr="00FB15F7" w:rsidTr="00231573">
        <w:trPr>
          <w:trHeight w:val="688"/>
          <w:tblCellSpacing w:w="5" w:type="nil"/>
        </w:trPr>
        <w:tc>
          <w:tcPr>
            <w:tcW w:w="2160" w:type="dxa"/>
          </w:tcPr>
          <w:p w:rsidR="007A0CC0" w:rsidRPr="00CA1036" w:rsidRDefault="007A0CC0" w:rsidP="00231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A1036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7196" w:type="dxa"/>
          </w:tcPr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Реализация Программы позволит </w:t>
            </w:r>
            <w:r w:rsidRPr="00194C32">
              <w:rPr>
                <w:sz w:val="28"/>
              </w:rPr>
              <w:t>обеспечить к 2023 году</w:t>
            </w:r>
            <w:r w:rsidRPr="00FB15F7">
              <w:rPr>
                <w:sz w:val="28"/>
              </w:rPr>
              <w:t>: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динамику поступления налоговых и неналоговых доходов бюджета города к уровню 2017 года (без учета доходов        от продажи материальных и нематериальных активов,        от компенсации затрат бюджетов городских округов)            </w:t>
            </w:r>
            <w:r w:rsidRPr="00FB15F7">
              <w:rPr>
                <w:sz w:val="28"/>
              </w:rPr>
              <w:lastRenderedPageBreak/>
              <w:t xml:space="preserve">в размере </w:t>
            </w:r>
            <w:r w:rsidR="00B354C5">
              <w:rPr>
                <w:sz w:val="28"/>
              </w:rPr>
              <w:t>129,4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долю расходов, сформированных в рамках муниципальных программ, в общем объеме бюджета города не менее 8</w:t>
            </w:r>
            <w:r w:rsidR="00B354C5">
              <w:rPr>
                <w:sz w:val="28"/>
              </w:rPr>
              <w:t>5</w:t>
            </w:r>
            <w:r w:rsidRPr="00FB15F7">
              <w:rPr>
                <w:sz w:val="28"/>
              </w:rPr>
              <w:t>%;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отсутствие просроченной кредиторской задолженности по приоритетным направлениям расходования средств бюджета города, утверждаемым правовыми актами администрации города, в общем объеме расходов бюджета города; 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>соотношение количества фактически проведенных контрольных мероприятий (ревизий и проверок) к количеству запланированных в сфере внутреннего муниципального финансового контроля не менее 95%;</w:t>
            </w:r>
          </w:p>
          <w:p w:rsidR="007A0CC0" w:rsidRPr="00FB15F7" w:rsidRDefault="007A0CC0" w:rsidP="00231573">
            <w:pPr>
              <w:pStyle w:val="ConsPlusNormal"/>
              <w:jc w:val="both"/>
              <w:rPr>
                <w:sz w:val="28"/>
              </w:rPr>
            </w:pPr>
            <w:r w:rsidRPr="00FB15F7">
              <w:rPr>
                <w:sz w:val="28"/>
              </w:rPr>
              <w:t xml:space="preserve">соблюдение установленных Бюджетным </w:t>
            </w:r>
            <w:hyperlink r:id="rId6" w:history="1">
              <w:r w:rsidRPr="00FB15F7">
                <w:rPr>
                  <w:sz w:val="28"/>
                </w:rPr>
                <w:t>кодексом</w:t>
              </w:r>
            </w:hyperlink>
            <w:r w:rsidRPr="00FB15F7">
              <w:rPr>
                <w:sz w:val="28"/>
              </w:rPr>
              <w:t xml:space="preserve"> Российской Федерации требований по срокам внесения проекта бюджета города и отчета о его исполнении в представительный орган;</w:t>
            </w:r>
          </w:p>
          <w:p w:rsidR="007A0CC0" w:rsidRPr="00FB15F7" w:rsidRDefault="007A0CC0" w:rsidP="00B354C5">
            <w:pPr>
              <w:pStyle w:val="ConsPlusNormal"/>
              <w:jc w:val="both"/>
              <w:rPr>
                <w:sz w:val="28"/>
              </w:rPr>
            </w:pPr>
            <w:r w:rsidRPr="00194C32">
              <w:rPr>
                <w:sz w:val="28"/>
              </w:rPr>
              <w:t xml:space="preserve">количество публикаций </w:t>
            </w:r>
            <w:r>
              <w:rPr>
                <w:sz w:val="28"/>
              </w:rPr>
              <w:t xml:space="preserve">о бюджете и бюджетном процессе </w:t>
            </w:r>
            <w:r w:rsidRPr="00194C32">
              <w:rPr>
                <w:sz w:val="28"/>
              </w:rPr>
              <w:t>в средствах массовой информации и сети Интернет не менее 1</w:t>
            </w:r>
            <w:r w:rsidR="00B354C5">
              <w:rPr>
                <w:sz w:val="28"/>
              </w:rPr>
              <w:t>70</w:t>
            </w:r>
            <w:r w:rsidRPr="00194C32">
              <w:rPr>
                <w:sz w:val="28"/>
              </w:rPr>
              <w:t xml:space="preserve"> в год</w:t>
            </w:r>
          </w:p>
        </w:tc>
      </w:tr>
    </w:tbl>
    <w:p w:rsidR="00DA126D" w:rsidRDefault="00355E8B"/>
    <w:sectPr w:rsidR="00DA126D" w:rsidSect="008A3BA1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8B" w:rsidRDefault="00355E8B" w:rsidP="008A3BA1">
      <w:pPr>
        <w:spacing w:after="0" w:line="240" w:lineRule="auto"/>
      </w:pPr>
      <w:r>
        <w:separator/>
      </w:r>
    </w:p>
  </w:endnote>
  <w:endnote w:type="continuationSeparator" w:id="0">
    <w:p w:rsidR="00355E8B" w:rsidRDefault="00355E8B" w:rsidP="008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8B" w:rsidRDefault="00355E8B" w:rsidP="008A3BA1">
      <w:pPr>
        <w:spacing w:after="0" w:line="240" w:lineRule="auto"/>
      </w:pPr>
      <w:r>
        <w:separator/>
      </w:r>
    </w:p>
  </w:footnote>
  <w:footnote w:type="continuationSeparator" w:id="0">
    <w:p w:rsidR="00355E8B" w:rsidRDefault="00355E8B" w:rsidP="008A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23835"/>
      <w:docPartObj>
        <w:docPartGallery w:val="Page Numbers (Top of Page)"/>
        <w:docPartUnique/>
      </w:docPartObj>
    </w:sdtPr>
    <w:sdtEndPr/>
    <w:sdtContent>
      <w:p w:rsidR="008A3BA1" w:rsidRDefault="008A3B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100">
          <w:rPr>
            <w:noProof/>
          </w:rPr>
          <w:t>3</w:t>
        </w:r>
        <w:r>
          <w:fldChar w:fldCharType="end"/>
        </w:r>
      </w:p>
    </w:sdtContent>
  </w:sdt>
  <w:p w:rsidR="008A3BA1" w:rsidRDefault="008A3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EA"/>
    <w:rsid w:val="00040AD1"/>
    <w:rsid w:val="00127B62"/>
    <w:rsid w:val="00355E8B"/>
    <w:rsid w:val="00381C93"/>
    <w:rsid w:val="00382100"/>
    <w:rsid w:val="006006B8"/>
    <w:rsid w:val="006169CC"/>
    <w:rsid w:val="006C2EEA"/>
    <w:rsid w:val="00760840"/>
    <w:rsid w:val="007A0CC0"/>
    <w:rsid w:val="007F19AC"/>
    <w:rsid w:val="00890EF0"/>
    <w:rsid w:val="008A3BA1"/>
    <w:rsid w:val="00965670"/>
    <w:rsid w:val="009B17D2"/>
    <w:rsid w:val="00B354C5"/>
    <w:rsid w:val="00EC06FF"/>
    <w:rsid w:val="00ED2971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3FE2C-4832-4D21-898E-8A27C90D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CC0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0C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ConsPlusNormal0">
    <w:name w:val="ConsPlusNormal Знак"/>
    <w:link w:val="ConsPlusNormal"/>
    <w:rsid w:val="007A0CC0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8A3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A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8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B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17A448DCB786C0AF4D1FC784F34BE0D843B9E15CFFE2CC5D1D953874qBh2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Королева</dc:creator>
  <cp:lastModifiedBy>Евгения Константиновна  Борисова</cp:lastModifiedBy>
  <cp:revision>14</cp:revision>
  <cp:lastPrinted>2020-01-22T07:20:00Z</cp:lastPrinted>
  <dcterms:created xsi:type="dcterms:W3CDTF">2020-01-16T02:27:00Z</dcterms:created>
  <dcterms:modified xsi:type="dcterms:W3CDTF">2020-02-12T08:22:00Z</dcterms:modified>
</cp:coreProperties>
</file>