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F8" w:rsidRPr="00824C61" w:rsidRDefault="00327DF8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27DF8" w:rsidRPr="00824C61" w:rsidRDefault="00327DF8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 xml:space="preserve"> к методике прогнозирования</w:t>
      </w:r>
    </w:p>
    <w:p w:rsidR="00327DF8" w:rsidRPr="00824C61" w:rsidRDefault="00327DF8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>поступлений д</w:t>
      </w:r>
      <w:bookmarkStart w:id="0" w:name="_GoBack"/>
      <w:bookmarkEnd w:id="0"/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>оходов в бюджет</w:t>
      </w:r>
    </w:p>
    <w:p w:rsidR="00327DF8" w:rsidRPr="00824C61" w:rsidRDefault="00327DF8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>города Барнаула, главным</w:t>
      </w:r>
    </w:p>
    <w:p w:rsidR="00327DF8" w:rsidRPr="00824C61" w:rsidRDefault="00327DF8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администратором</w:t>
      </w:r>
      <w:proofErr w:type="gramEnd"/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является</w:t>
      </w:r>
    </w:p>
    <w:p w:rsidR="00327DF8" w:rsidRPr="00824C61" w:rsidRDefault="00327DF8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по социальной защите населения</w:t>
      </w:r>
    </w:p>
    <w:p w:rsidR="00CF1717" w:rsidRDefault="00327DF8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61">
        <w:rPr>
          <w:rFonts w:ascii="Times New Roman" w:eastAsia="Times New Roman" w:hAnsi="Times New Roman"/>
          <w:sz w:val="24"/>
          <w:szCs w:val="24"/>
          <w:lang w:eastAsia="ru-RU"/>
        </w:rPr>
        <w:t>города Барнаула</w:t>
      </w:r>
    </w:p>
    <w:p w:rsidR="006560AB" w:rsidRDefault="006560AB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0AB" w:rsidRPr="0053453F" w:rsidRDefault="006560AB" w:rsidP="006560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8A">
        <w:rPr>
          <w:rFonts w:ascii="Times New Roman" w:eastAsia="Times New Roman" w:hAnsi="Times New Roman"/>
          <w:sz w:val="28"/>
          <w:szCs w:val="28"/>
          <w:lang w:eastAsia="ru-RU"/>
        </w:rPr>
        <w:t>МЕТОДИКА</w:t>
      </w:r>
    </w:p>
    <w:p w:rsidR="006560AB" w:rsidRPr="001F138A" w:rsidRDefault="006560AB" w:rsidP="006560AB">
      <w:pPr>
        <w:spacing w:after="240" w:line="240" w:lineRule="auto"/>
        <w:ind w:left="-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8A">
        <w:rPr>
          <w:rFonts w:ascii="Times New Roman" w:eastAsia="Times New Roman" w:hAnsi="Times New Roman"/>
          <w:sz w:val="28"/>
          <w:szCs w:val="28"/>
          <w:lang w:eastAsia="ru-RU"/>
        </w:rPr>
        <w:t>прогнозирования поступлений доходов в бюджет города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арнаула, главным администратор</w:t>
      </w:r>
      <w:r w:rsidRPr="00D75F5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F138A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является комитет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поддержке населения</w:t>
      </w:r>
      <w:r w:rsidRPr="001F13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</w:t>
      </w:r>
    </w:p>
    <w:p w:rsidR="006560AB" w:rsidRPr="00824C61" w:rsidRDefault="006560AB" w:rsidP="0053453F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Layout w:type="fixed"/>
        <w:tblLook w:val="04A0" w:firstRow="1" w:lastRow="0" w:firstColumn="1" w:lastColumn="0" w:noHBand="0" w:noVBand="1"/>
      </w:tblPr>
      <w:tblGrid>
        <w:gridCol w:w="530"/>
        <w:gridCol w:w="1212"/>
        <w:gridCol w:w="1635"/>
        <w:gridCol w:w="2047"/>
        <w:gridCol w:w="1769"/>
        <w:gridCol w:w="1148"/>
        <w:gridCol w:w="1579"/>
        <w:gridCol w:w="1839"/>
        <w:gridCol w:w="2240"/>
      </w:tblGrid>
      <w:tr w:rsidR="00CC4475" w:rsidRPr="00824C61" w:rsidTr="006560AB">
        <w:trPr>
          <w:trHeight w:val="8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F1717" w:rsidRPr="00D75F5B" w:rsidRDefault="00CC4475" w:rsidP="00CC4475">
            <w:pPr>
              <w:spacing w:after="0" w:line="240" w:lineRule="auto"/>
              <w:ind w:left="-124" w:right="-10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F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D75F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  <w:r w:rsidRPr="00D75F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F1717" w:rsidRPr="00D75F5B" w:rsidRDefault="00CC4475" w:rsidP="00CC447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F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F1717" w:rsidRPr="00D75F5B" w:rsidRDefault="00061883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F5B">
              <w:rPr>
                <w:rFonts w:ascii="Times New Roman" w:hAnsi="Times New Roman"/>
                <w:sz w:val="24"/>
                <w:szCs w:val="24"/>
              </w:rPr>
              <w:t>КБК</w:t>
            </w:r>
            <w:proofErr w:type="gramStart"/>
            <w:r w:rsidRPr="00D75F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D75F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F1717" w:rsidRPr="00D75F5B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F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КБК</w:t>
            </w:r>
            <w:r w:rsidR="00CC4475" w:rsidRPr="00D75F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F1717" w:rsidRPr="00CC4475" w:rsidRDefault="00CF1717" w:rsidP="00CC4475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</w:t>
            </w:r>
            <w:r w:rsid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метода расчёта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Формула расчёта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Алгоритм расчёта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показателей</w:t>
            </w:r>
          </w:p>
        </w:tc>
      </w:tr>
      <w:tr w:rsidR="0053453F" w:rsidRPr="00824C61" w:rsidTr="006560AB">
        <w:trPr>
          <w:trHeight w:val="1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717" w:rsidRPr="00CC4475" w:rsidRDefault="00CF1717" w:rsidP="00012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3453F" w:rsidRPr="00824C61" w:rsidTr="006560AB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717" w:rsidRPr="00824C61" w:rsidRDefault="00CF1717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1636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717" w:rsidRPr="00824C61" w:rsidRDefault="00CF1717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1636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717" w:rsidRPr="00824C61" w:rsidRDefault="00491636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="00C12FF4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социальной поддержке населения города Барнаула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717" w:rsidRPr="00824C61" w:rsidRDefault="00491636" w:rsidP="00CC4475">
            <w:pPr>
              <w:spacing w:after="0" w:line="240" w:lineRule="auto"/>
              <w:ind w:left="-108" w:right="-10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11302994040015130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717" w:rsidRPr="00824C61" w:rsidRDefault="00491636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717" w:rsidRPr="00824C61" w:rsidRDefault="006575F1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24C61">
              <w:rPr>
                <w:rFonts w:ascii="Times New Roman" w:hAnsi="Times New Roman"/>
                <w:sz w:val="24"/>
                <w:szCs w:val="24"/>
              </w:rPr>
              <w:t xml:space="preserve">етод </w:t>
            </w:r>
            <w:proofErr w:type="spellStart"/>
            <w:proofErr w:type="gramStart"/>
            <w:r w:rsidRPr="00824C61">
              <w:rPr>
                <w:rFonts w:ascii="Times New Roman" w:hAnsi="Times New Roman"/>
                <w:sz w:val="24"/>
                <w:szCs w:val="24"/>
              </w:rPr>
              <w:t>усредне</w:t>
            </w:r>
            <w:r w:rsidR="00CC4475">
              <w:rPr>
                <w:rFonts w:ascii="Times New Roman" w:hAnsi="Times New Roman"/>
                <w:sz w:val="24"/>
                <w:szCs w:val="24"/>
              </w:rPr>
              <w:t>-</w:t>
            </w:r>
            <w:r w:rsidRPr="00824C6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7" w:rsidRPr="00824C61" w:rsidRDefault="00F40C79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Д</w:t>
            </w:r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>комп</w:t>
            </w:r>
            <w:proofErr w:type="spellEnd"/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24C61">
              <w:rPr>
                <w:rFonts w:ascii="Times New Roman" w:hAnsi="Times New Roman"/>
                <w:sz w:val="24"/>
                <w:szCs w:val="24"/>
              </w:rPr>
              <w:t>= [</w:t>
            </w: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Д</w:t>
            </w:r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>комп</w:t>
            </w:r>
            <w:proofErr w:type="spellEnd"/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(1) </w:t>
            </w:r>
            <w:r w:rsidRPr="00824C61">
              <w:rPr>
                <w:rFonts w:ascii="Times New Roman" w:hAnsi="Times New Roman"/>
                <w:sz w:val="24"/>
                <w:szCs w:val="24"/>
              </w:rPr>
              <w:t>+</w:t>
            </w:r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Д</w:t>
            </w:r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>комп</w:t>
            </w:r>
            <w:proofErr w:type="spellEnd"/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(2) </w:t>
            </w:r>
            <w:r w:rsidRPr="00824C61">
              <w:rPr>
                <w:rFonts w:ascii="Times New Roman" w:hAnsi="Times New Roman"/>
                <w:sz w:val="24"/>
                <w:szCs w:val="24"/>
              </w:rPr>
              <w:t>+</w:t>
            </w:r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Д</w:t>
            </w:r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>комп</w:t>
            </w:r>
            <w:proofErr w:type="spellEnd"/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(3)</w:t>
            </w:r>
            <w:r w:rsidRPr="00824C61">
              <w:rPr>
                <w:rFonts w:ascii="Times New Roman" w:hAnsi="Times New Roman"/>
                <w:sz w:val="24"/>
                <w:szCs w:val="24"/>
              </w:rPr>
              <w:t xml:space="preserve">]/3 +(–) </w:t>
            </w: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Д</w:t>
            </w:r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>изм</w:t>
            </w:r>
            <w:proofErr w:type="spellEnd"/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824C6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24C61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5A1" w:rsidRDefault="003165A1" w:rsidP="003165A1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 xml:space="preserve">При расчете прогнозного объема поступлений учитывается сумма фактических (ожидаемых) поступлений за три года, предшествующих расчетному году, без учета поступлений по результатам контрольных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lastRenderedPageBreak/>
              <w:t>мероприятий, судебных решений, а также платежей, носящих разовый характер.</w:t>
            </w:r>
          </w:p>
          <w:p w:rsidR="00CF1717" w:rsidRPr="00824C61" w:rsidRDefault="003165A1" w:rsidP="003165A1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Расчет осуществляется методом усреднения годовых объемов поступления доходов за три года, предшествующих расчетному периоду, или за весь период поступления соответствующего дохода, если он не превышает три года.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C61" w:rsidRPr="00824C61" w:rsidRDefault="00824C61" w:rsidP="00FC3F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комп</w:t>
            </w:r>
            <w:proofErr w:type="spellEnd"/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C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</w:t>
            </w:r>
            <w:r w:rsidR="00BC0852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поступлений по доходам от компенсации затрат бюджетов городских округов в расчетном периоде;</w:t>
            </w:r>
          </w:p>
          <w:p w:rsidR="00824C61" w:rsidRPr="00824C61" w:rsidRDefault="00824C61" w:rsidP="00FC3F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комп</w:t>
            </w:r>
            <w:proofErr w:type="spellEnd"/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(1), </w:t>
            </w:r>
            <w:proofErr w:type="spell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комп</w:t>
            </w:r>
            <w:proofErr w:type="spellEnd"/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(2), </w:t>
            </w:r>
            <w:proofErr w:type="spell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комп</w:t>
            </w:r>
            <w:proofErr w:type="spellEnd"/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(3) 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фактические (ожидаемые) суммы поступлений по доходам от компенсации 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затрат бюджетов городских округов за 3 года, предшествующих расчетному периоду, без учета поступлений по результатам контрольных мероприятий, судебных решений, а также платежей, носящих разовый характер;</w:t>
            </w:r>
          </w:p>
          <w:p w:rsidR="00CF1717" w:rsidRPr="0053453F" w:rsidRDefault="00824C61" w:rsidP="00534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изм</w:t>
            </w:r>
            <w:proofErr w:type="spellEnd"/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spellStart"/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824C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) 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сумма дополнительных или выпадающих доходов в расчетном году за счет изменения бюджетного законодательства и иных факторов, оказывающих влияние на изменение поступлений по </w:t>
            </w:r>
            <w:r w:rsidR="00BC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ожидаемому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коду бюджетной классификации.</w:t>
            </w:r>
          </w:p>
        </w:tc>
      </w:tr>
      <w:tr w:rsidR="0053453F" w:rsidRPr="00824C61" w:rsidTr="006560AB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E8C" w:rsidRPr="00824C61" w:rsidRDefault="000D7E8C" w:rsidP="00FC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E8C" w:rsidRPr="00824C61" w:rsidRDefault="000D7E8C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E8C" w:rsidRPr="00824C61" w:rsidRDefault="000D7E8C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поддержке </w:t>
            </w:r>
            <w:r w:rsidRPr="00824C6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города Барнаула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E8C" w:rsidRPr="00824C61" w:rsidRDefault="000D7E8C" w:rsidP="00CC4475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11610123010041140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8C" w:rsidRPr="00824C61" w:rsidRDefault="000D7E8C" w:rsidP="00FC3F94">
            <w:pPr>
              <w:spacing w:after="0" w:line="240" w:lineRule="auto"/>
              <w:ind w:right="-12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</w:t>
            </w: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(штрафов), поступающие в счет погашения задолженности, образовавшейся</w:t>
            </w:r>
          </w:p>
          <w:p w:rsidR="000D7E8C" w:rsidRPr="00824C61" w:rsidRDefault="000D7E8C" w:rsidP="00FC3F94">
            <w:pPr>
              <w:spacing w:after="0" w:line="240" w:lineRule="auto"/>
              <w:ind w:right="-12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</w:t>
            </w:r>
          </w:p>
          <w:p w:rsidR="000D7E8C" w:rsidRPr="00824C61" w:rsidRDefault="000D7E8C" w:rsidP="00FC3F94">
            <w:pPr>
              <w:spacing w:after="0" w:line="240" w:lineRule="auto"/>
              <w:ind w:right="-12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нормативам, действовавшим</w:t>
            </w:r>
          </w:p>
          <w:p w:rsidR="000D7E8C" w:rsidRPr="00824C61" w:rsidRDefault="000D7E8C" w:rsidP="00FC3F94">
            <w:pPr>
              <w:spacing w:after="0" w:line="240" w:lineRule="auto"/>
              <w:ind w:right="-12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(доходы бюджетов городских округов</w:t>
            </w:r>
            <w:proofErr w:type="gramEnd"/>
          </w:p>
          <w:p w:rsidR="000D7E8C" w:rsidRPr="00824C61" w:rsidRDefault="000D7E8C" w:rsidP="00FC3F94">
            <w:pPr>
              <w:spacing w:after="0" w:line="240" w:lineRule="auto"/>
              <w:ind w:right="-12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исключением доходов, направляемых на формирование муниципального дорожного фонда,</w:t>
            </w:r>
          </w:p>
          <w:p w:rsidR="000D7E8C" w:rsidRPr="00824C61" w:rsidRDefault="000D7E8C" w:rsidP="00FC3F94">
            <w:pPr>
              <w:spacing w:after="0" w:line="240" w:lineRule="auto"/>
              <w:ind w:right="-12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также иных платежей в случае принятия решения финансовым </w:t>
            </w: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органом муниципального образования</w:t>
            </w:r>
          </w:p>
          <w:p w:rsidR="000D7E8C" w:rsidRPr="00824C61" w:rsidRDefault="000D7E8C" w:rsidP="00FC3F94">
            <w:pPr>
              <w:spacing w:after="0" w:line="240" w:lineRule="auto"/>
              <w:ind w:right="-126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раздельном учете задолженности)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E8C" w:rsidRPr="00824C61" w:rsidRDefault="000D7E8C" w:rsidP="00CC4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 прямого расчета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8C" w:rsidRPr="00824C61" w:rsidRDefault="000D7E8C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Д</w:t>
            </w:r>
            <w:r w:rsidR="00A17F38" w:rsidRPr="00824C61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824C6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З</w:t>
            </w:r>
            <w:r w:rsidR="00A17F38" w:rsidRPr="00824C61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77" w:rsidRPr="00553D77" w:rsidRDefault="000D7E8C" w:rsidP="00553D77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 xml:space="preserve">Поступление доходов имеет несистемный и </w:t>
            </w:r>
            <w:r w:rsidRPr="0082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нерегулярный характер, при расчете учитывается только </w:t>
            </w:r>
            <w:r w:rsidR="00091E09" w:rsidRPr="00BC0852">
              <w:rPr>
                <w:rFonts w:ascii="Times New Roman" w:hAnsi="Times New Roman"/>
                <w:sz w:val="24"/>
                <w:szCs w:val="24"/>
              </w:rPr>
              <w:t xml:space="preserve">ожидаемая </w:t>
            </w:r>
            <w:r w:rsidRPr="00824C61">
              <w:rPr>
                <w:rFonts w:ascii="Times New Roman" w:hAnsi="Times New Roman"/>
                <w:sz w:val="24"/>
                <w:szCs w:val="24"/>
              </w:rPr>
              <w:t>сумма поступления дебиторской задолженности</w:t>
            </w:r>
            <w:r w:rsidR="0055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D77" w:rsidRPr="00553D77">
              <w:rPr>
                <w:rFonts w:ascii="Times New Roman" w:hAnsi="Times New Roman"/>
                <w:sz w:val="24"/>
                <w:szCs w:val="24"/>
              </w:rPr>
              <w:t>по данному коду бюджетной классификации, взыскиваемая</w:t>
            </w:r>
          </w:p>
          <w:p w:rsidR="000D7E8C" w:rsidRPr="00824C61" w:rsidRDefault="00553D77" w:rsidP="00553D77">
            <w:pPr>
              <w:spacing w:line="240" w:lineRule="auto"/>
              <w:ind w:right="-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77">
              <w:rPr>
                <w:rFonts w:ascii="Times New Roman" w:hAnsi="Times New Roman"/>
                <w:sz w:val="24"/>
                <w:szCs w:val="24"/>
              </w:rPr>
              <w:t>по исполнительным листам, мировым соглашениям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E8C" w:rsidRPr="00824C61" w:rsidRDefault="000D7E8C" w:rsidP="00FC3F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F94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A17F38" w:rsidRPr="00FC3F94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FC3F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C3F94">
              <w:rPr>
                <w:rFonts w:ascii="Times New Roman" w:hAnsi="Times New Roman"/>
                <w:sz w:val="24"/>
                <w:szCs w:val="24"/>
              </w:rPr>
              <w:t>прогнозный</w:t>
            </w:r>
            <w:r w:rsidRPr="00BC085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24C61">
              <w:rPr>
                <w:rFonts w:ascii="Times New Roman" w:hAnsi="Times New Roman"/>
                <w:sz w:val="24"/>
                <w:szCs w:val="24"/>
              </w:rPr>
              <w:t xml:space="preserve">бъем поступления в расчетном году </w:t>
            </w:r>
            <w:r w:rsidRPr="00824C61">
              <w:rPr>
                <w:rFonts w:ascii="Times New Roman" w:hAnsi="Times New Roman"/>
                <w:sz w:val="24"/>
                <w:szCs w:val="24"/>
              </w:rPr>
              <w:lastRenderedPageBreak/>
              <w:t>доходов</w:t>
            </w:r>
          </w:p>
          <w:p w:rsidR="000D7E8C" w:rsidRPr="00824C61" w:rsidRDefault="000D7E8C" w:rsidP="00FC3F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от погашения задолженности, образовавшейся</w:t>
            </w:r>
          </w:p>
          <w:p w:rsidR="000D7E8C" w:rsidRPr="00824C61" w:rsidRDefault="000D7E8C" w:rsidP="00FC3F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до 1 января 2020 года;</w:t>
            </w:r>
          </w:p>
          <w:p w:rsidR="000D7E8C" w:rsidRPr="00824C61" w:rsidRDefault="000D7E8C" w:rsidP="00FC3F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З</w:t>
            </w:r>
            <w:r w:rsidR="00A17F38" w:rsidRPr="00824C61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824C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0255">
              <w:rPr>
                <w:rFonts w:ascii="Times New Roman" w:hAnsi="Times New Roman"/>
                <w:sz w:val="24"/>
                <w:szCs w:val="24"/>
              </w:rPr>
              <w:t>ожидаемая</w:t>
            </w:r>
          </w:p>
          <w:p w:rsidR="000D7E8C" w:rsidRPr="00824C61" w:rsidRDefault="000D7E8C" w:rsidP="00FC3F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в расчетном году сумма поступления задолженности, образовавшейся</w:t>
            </w:r>
          </w:p>
          <w:p w:rsidR="000D7E8C" w:rsidRPr="00824C61" w:rsidRDefault="000D7E8C" w:rsidP="00FC3F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до 1 января 2020 года</w:t>
            </w:r>
          </w:p>
        </w:tc>
      </w:tr>
      <w:tr w:rsidR="0053453F" w:rsidRPr="00824C61" w:rsidTr="006560AB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70" w:rsidRPr="00824C61" w:rsidRDefault="00CF5370" w:rsidP="00FC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70" w:rsidRPr="00824C61" w:rsidRDefault="00CF5370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70" w:rsidRPr="00824C61" w:rsidRDefault="007B175F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 города Барнаула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70" w:rsidRPr="00824C61" w:rsidRDefault="005F1F1C" w:rsidP="00CC4475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11610061040000140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70" w:rsidRPr="00824C61" w:rsidRDefault="005F1F1C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</w:t>
            </w:r>
            <w:r w:rsidR="003536A1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ниципальным казенным учреждение</w:t>
            </w: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370" w:rsidRPr="00824C61" w:rsidRDefault="005F1F1C" w:rsidP="00CC44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70" w:rsidRPr="00824C61" w:rsidRDefault="000D7E8C" w:rsidP="00656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36396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З</w:t>
            </w:r>
            <w:r w:rsidR="00A36396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E8C" w:rsidRPr="00824C61" w:rsidRDefault="00CC4475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4C61">
              <w:rPr>
                <w:rFonts w:ascii="Times New Roman" w:hAnsi="Times New Roman"/>
                <w:sz w:val="24"/>
                <w:szCs w:val="24"/>
              </w:rPr>
              <w:t xml:space="preserve">Поступление доходов </w:t>
            </w:r>
            <w:r w:rsidR="000D7E8C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несистемный и нерегулярный характер, при расчете учитывается только </w:t>
            </w:r>
            <w:r w:rsidR="002B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ожидаемая</w:t>
            </w:r>
            <w:r w:rsidR="000D7E8C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поступления дебиторской задолженности по данному коду бюджетной классификации, взыскиваемая по исполнительным листам, мировым соглашениям (далее – дебиторская задолженность по доходам от возмещения убытков, причиненных уклонением</w:t>
            </w:r>
            <w:proofErr w:type="gramEnd"/>
          </w:p>
          <w:p w:rsidR="00CF5370" w:rsidRPr="00824C61" w:rsidRDefault="000D7E8C" w:rsidP="008D6EFF">
            <w:pPr>
              <w:spacing w:after="0" w:line="240" w:lineRule="auto"/>
              <w:ind w:right="-8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заключения муниципального контракта)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E8C" w:rsidRPr="00824C61" w:rsidRDefault="000D7E8C" w:rsidP="00FC3F9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36396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C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</w:t>
            </w:r>
            <w:r w:rsidR="002B50AA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поступления в расчетном году доходов от возмещения убытков, причиненных уклонением от заключения муниципального контракта;</w:t>
            </w:r>
          </w:p>
          <w:p w:rsidR="00CF5370" w:rsidRPr="00824C61" w:rsidRDefault="000D7E8C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A36396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2B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ожидаемая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расчетном году сумма поступления дебиторской задолженности по доходам от возмещения убытков, причиненных уклонением от заключения муниципального контракта</w:t>
            </w:r>
          </w:p>
        </w:tc>
      </w:tr>
      <w:tr w:rsidR="0053453F" w:rsidRPr="00824C61" w:rsidTr="006560AB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FC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 города Барнаула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CC4475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9D7F21" w:rsidP="00CC44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Иной расчет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E6" w:rsidRPr="00824C61" w:rsidRDefault="008445D3" w:rsidP="00FC3F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C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13" w:rsidRPr="00824C61" w:rsidRDefault="004C3313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код дохода предусмотрен</w:t>
            </w:r>
          </w:p>
          <w:p w:rsidR="004C3313" w:rsidRPr="00824C61" w:rsidRDefault="004C3313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зачисления платежей, в которых неверно указаны</w:t>
            </w:r>
            <w:proofErr w:type="gramEnd"/>
          </w:p>
          <w:p w:rsidR="004C3313" w:rsidRPr="00824C61" w:rsidRDefault="004C3313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указаны) реквизиты платежа</w:t>
            </w:r>
          </w:p>
          <w:p w:rsidR="004C3313" w:rsidRPr="00824C61" w:rsidRDefault="004C3313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подлежат уточнению по соответствующему коду дохода.</w:t>
            </w:r>
          </w:p>
          <w:p w:rsidR="00FE10E6" w:rsidRPr="00824C61" w:rsidRDefault="004C3313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финансовый год и на пла</w:t>
            </w:r>
            <w:r w:rsidR="002B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новый период не </w:t>
            </w:r>
            <w:r w:rsidR="00FC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прогнозируется</w:t>
            </w:r>
            <w:r w:rsidR="002B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 прогноз на текущий финансовый год формируется с учетом уточнения платежей за предыдущие отчетные периоды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0E6" w:rsidRPr="00824C61" w:rsidRDefault="004C3313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 - бюджетная отчетность комитета по социальной защите населения города Барнаула</w:t>
            </w:r>
          </w:p>
        </w:tc>
      </w:tr>
      <w:tr w:rsidR="0053453F" w:rsidRPr="00824C61" w:rsidTr="006560AB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FC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 города Барнаула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CC4475" w:rsidP="00CC4475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1160701004</w:t>
            </w:r>
            <w:r w:rsidR="00FE10E6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0007140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0E6" w:rsidRPr="00824C61" w:rsidRDefault="00FE10E6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E6" w:rsidRPr="00824C61" w:rsidRDefault="00FE10E6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E6" w:rsidRPr="00824C61" w:rsidRDefault="007A116A" w:rsidP="006560AB">
            <w:pPr>
              <w:spacing w:line="240" w:lineRule="auto"/>
              <w:ind w:right="-7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Д</w:t>
            </w:r>
            <w:r w:rsidR="00A36396" w:rsidRPr="00824C61">
              <w:rPr>
                <w:rFonts w:ascii="Times New Roman" w:hAnsi="Times New Roman"/>
                <w:sz w:val="24"/>
                <w:szCs w:val="24"/>
              </w:rPr>
              <w:t>шмк</w:t>
            </w:r>
            <w:proofErr w:type="spellEnd"/>
            <w:r w:rsidR="006560A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24C61">
              <w:rPr>
                <w:rFonts w:ascii="Times New Roman" w:hAnsi="Times New Roman"/>
                <w:sz w:val="24"/>
                <w:szCs w:val="24"/>
              </w:rPr>
              <w:t>З</w:t>
            </w:r>
            <w:r w:rsidR="00A36396" w:rsidRPr="00824C61">
              <w:rPr>
                <w:rFonts w:ascii="Times New Roman" w:hAnsi="Times New Roman"/>
                <w:sz w:val="24"/>
                <w:szCs w:val="24"/>
              </w:rPr>
              <w:t>шмк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0E6" w:rsidRPr="00824C61" w:rsidRDefault="007A116A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доходов имеет несистемный, нерегулярный характер, зависит от исполнения обязательств по муниципальным контрактам, при расчете поступлений учитывается только </w:t>
            </w:r>
            <w:r w:rsidR="002B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ожидаемая</w:t>
            </w:r>
            <w:r w:rsidR="002B50AA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поступления дебиторской задолженности по данному коду бюджетной классификации</w:t>
            </w:r>
            <w:r w:rsidR="008D6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взыскиваемая по исполнительным листам, мировым соглашениям (далее – задолженность по штрафам, неустойке, пени)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6A" w:rsidRPr="00824C61" w:rsidRDefault="007A116A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36396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шмк</w:t>
            </w:r>
            <w:proofErr w:type="spellEnd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C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поступления</w:t>
            </w:r>
          </w:p>
          <w:p w:rsidR="007A116A" w:rsidRPr="00824C61" w:rsidRDefault="007A116A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расчетном году доходов от взыскания штрафов, неустойки, пени за просрочку исполнения обязательств по муниципальному контракту;</w:t>
            </w:r>
          </w:p>
          <w:p w:rsidR="00FE10E6" w:rsidRPr="00824C61" w:rsidRDefault="007A116A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A36396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шмк</w:t>
            </w:r>
            <w:proofErr w:type="spellEnd"/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2B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ожидаемая</w:t>
            </w:r>
            <w:r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расчетном году сумма поступления дебиторской задолженности по штрафам, неустойке, пени</w:t>
            </w:r>
            <w:r w:rsidR="00FE10E6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53F" w:rsidRPr="00824C61" w:rsidTr="006560AB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B6E" w:rsidRPr="00824C61" w:rsidRDefault="00482B6E" w:rsidP="00FC3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B6E" w:rsidRPr="00824C61" w:rsidRDefault="00482B6E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B6E" w:rsidRPr="00824C61" w:rsidRDefault="00482B6E" w:rsidP="00FC3F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4C61">
              <w:rPr>
                <w:rFonts w:ascii="Times New Roman" w:hAnsi="Times New Roman"/>
                <w:sz w:val="24"/>
                <w:szCs w:val="24"/>
              </w:rPr>
              <w:t>Комитет по социальной поддержке населения города Барнаула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B6E" w:rsidRPr="00824C61" w:rsidRDefault="00482B6E" w:rsidP="00CC4475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11610081040000140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6E" w:rsidRPr="00824C61" w:rsidRDefault="00482B6E" w:rsidP="00FC3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B6E" w:rsidRPr="00824C61" w:rsidRDefault="00482B6E" w:rsidP="00CC44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6E" w:rsidRPr="00824C61" w:rsidRDefault="007A116A" w:rsidP="00656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36396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ущ</w:t>
            </w:r>
            <w:proofErr w:type="spellEnd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A36396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ущ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6A" w:rsidRPr="00824C61" w:rsidRDefault="007A116A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Поступление доходов имеет несистемный и нерегулярный характер, при расчете учитывается только </w:t>
            </w:r>
            <w:r w:rsidR="002B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ожидаемая</w:t>
            </w:r>
            <w:r w:rsidR="002B50AA" w:rsidRPr="00824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поступления дебиторской задолженности</w:t>
            </w:r>
          </w:p>
          <w:p w:rsidR="007A116A" w:rsidRPr="00824C61" w:rsidRDefault="007A116A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данному коду бюджетной классификации, </w:t>
            </w:r>
            <w:proofErr w:type="gramStart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взыскиваемая</w:t>
            </w:r>
            <w:proofErr w:type="gramEnd"/>
          </w:p>
          <w:p w:rsidR="007A116A" w:rsidRPr="00824C61" w:rsidRDefault="007A116A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исполнительным листам, мировым соглашениям</w:t>
            </w:r>
          </w:p>
          <w:p w:rsidR="007A116A" w:rsidRPr="00824C61" w:rsidRDefault="007A116A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дебиторская задолженность</w:t>
            </w:r>
            <w:proofErr w:type="gramEnd"/>
          </w:p>
          <w:p w:rsidR="00482B6E" w:rsidRPr="00824C61" w:rsidRDefault="007A116A" w:rsidP="008D6EFF">
            <w:pPr>
              <w:spacing w:after="0" w:line="240" w:lineRule="auto"/>
              <w:ind w:right="-8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доходам от возмещения ущерба при расторжении муниципального контракта)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16A" w:rsidRPr="00824C61" w:rsidRDefault="007A116A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36396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ущ</w:t>
            </w:r>
            <w:proofErr w:type="spellEnd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C3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</w:t>
            </w: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поступления в расчетном году доходов от возмещения ущерба при расторжении муниципального контракта;</w:t>
            </w:r>
          </w:p>
          <w:p w:rsidR="007A116A" w:rsidRPr="00824C61" w:rsidRDefault="007A116A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A36396"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ущ</w:t>
            </w:r>
            <w:proofErr w:type="spellEnd"/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B5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ожидаемая</w:t>
            </w: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расчетном году сумма поступления дебиторской задолженности </w:t>
            </w:r>
          </w:p>
          <w:p w:rsidR="007A116A" w:rsidRPr="00824C61" w:rsidRDefault="007A116A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доходам</w:t>
            </w:r>
          </w:p>
          <w:p w:rsidR="007A116A" w:rsidRPr="00824C61" w:rsidRDefault="007A116A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возмещения</w:t>
            </w:r>
          </w:p>
          <w:p w:rsidR="00482B6E" w:rsidRPr="00824C61" w:rsidRDefault="007A116A" w:rsidP="00FC3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возмещения ущерба при расторжении муниципального контракта</w:t>
            </w:r>
          </w:p>
        </w:tc>
      </w:tr>
    </w:tbl>
    <w:p w:rsidR="005B3C94" w:rsidRPr="00824C61" w:rsidRDefault="005B3C94" w:rsidP="00CF171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4C6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061883" w:rsidRPr="00061883" w:rsidRDefault="00061883" w:rsidP="0006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88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061883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код бюджетной классификации дохода</w:t>
      </w:r>
    </w:p>
    <w:p w:rsidR="00CF1717" w:rsidRPr="00824C61" w:rsidRDefault="00CF1717" w:rsidP="0006188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CF1717" w:rsidRPr="00824C61" w:rsidSect="0053453F">
      <w:headerReference w:type="default" r:id="rId9"/>
      <w:pgSz w:w="16838" w:h="11906" w:orient="landscape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7A" w:rsidRDefault="00A6307A" w:rsidP="004D1AE5">
      <w:pPr>
        <w:spacing w:after="0" w:line="240" w:lineRule="auto"/>
      </w:pPr>
      <w:r>
        <w:separator/>
      </w:r>
    </w:p>
  </w:endnote>
  <w:endnote w:type="continuationSeparator" w:id="0">
    <w:p w:rsidR="00A6307A" w:rsidRDefault="00A6307A" w:rsidP="004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7A" w:rsidRDefault="00A6307A" w:rsidP="004D1AE5">
      <w:pPr>
        <w:spacing w:after="0" w:line="240" w:lineRule="auto"/>
      </w:pPr>
      <w:r>
        <w:separator/>
      </w:r>
    </w:p>
  </w:footnote>
  <w:footnote w:type="continuationSeparator" w:id="0">
    <w:p w:rsidR="00A6307A" w:rsidRDefault="00A6307A" w:rsidP="004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195022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53453F" w:rsidRDefault="00CC4475" w:rsidP="0053453F">
        <w:pPr>
          <w:pStyle w:val="a9"/>
          <w:tabs>
            <w:tab w:val="left" w:pos="14002"/>
          </w:tabs>
          <w:ind w:right="110"/>
          <w:jc w:val="right"/>
          <w:rPr>
            <w:rFonts w:ascii="Times New Roman" w:hAnsi="Times New Roman"/>
            <w:sz w:val="24"/>
            <w:szCs w:val="24"/>
          </w:rPr>
        </w:pPr>
        <w:r w:rsidRPr="0053453F">
          <w:rPr>
            <w:rFonts w:ascii="Times New Roman" w:hAnsi="Times New Roman"/>
            <w:sz w:val="24"/>
            <w:szCs w:val="24"/>
          </w:rPr>
          <w:fldChar w:fldCharType="begin"/>
        </w:r>
        <w:r w:rsidRPr="005345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453F">
          <w:rPr>
            <w:rFonts w:ascii="Times New Roman" w:hAnsi="Times New Roman"/>
            <w:sz w:val="24"/>
            <w:szCs w:val="24"/>
          </w:rPr>
          <w:fldChar w:fldCharType="separate"/>
        </w:r>
        <w:r w:rsidR="001550FA">
          <w:rPr>
            <w:rFonts w:ascii="Times New Roman" w:hAnsi="Times New Roman"/>
            <w:noProof/>
            <w:sz w:val="24"/>
            <w:szCs w:val="24"/>
          </w:rPr>
          <w:t>2</w:t>
        </w:r>
        <w:r w:rsidRPr="0053453F">
          <w:rPr>
            <w:rFonts w:ascii="Times New Roman" w:hAnsi="Times New Roman"/>
            <w:sz w:val="24"/>
            <w:szCs w:val="24"/>
          </w:rPr>
          <w:fldChar w:fldCharType="end"/>
        </w:r>
      </w:p>
      <w:tbl>
        <w:tblPr>
          <w:tblW w:w="492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30"/>
          <w:gridCol w:w="1212"/>
          <w:gridCol w:w="1635"/>
          <w:gridCol w:w="2047"/>
          <w:gridCol w:w="1769"/>
          <w:gridCol w:w="1148"/>
          <w:gridCol w:w="1579"/>
          <w:gridCol w:w="1839"/>
          <w:gridCol w:w="2240"/>
        </w:tblGrid>
        <w:tr w:rsidR="008D6EFF" w:rsidRPr="00824C61" w:rsidTr="008D6EFF">
          <w:trPr>
            <w:trHeight w:val="120"/>
          </w:trPr>
          <w:tc>
            <w:tcPr>
              <w:tcW w:w="189" w:type="pct"/>
              <w:shd w:val="clear" w:color="auto" w:fill="auto"/>
              <w:vAlign w:val="center"/>
              <w:hideMark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1 </w:t>
              </w:r>
            </w:p>
          </w:tc>
          <w:tc>
            <w:tcPr>
              <w:tcW w:w="433" w:type="pct"/>
              <w:shd w:val="clear" w:color="auto" w:fill="auto"/>
              <w:noWrap/>
              <w:vAlign w:val="center"/>
              <w:hideMark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 2</w:t>
              </w:r>
            </w:p>
          </w:tc>
          <w:tc>
            <w:tcPr>
              <w:tcW w:w="584" w:type="pct"/>
              <w:shd w:val="clear" w:color="auto" w:fill="auto"/>
              <w:vAlign w:val="center"/>
              <w:hideMark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 3</w:t>
              </w:r>
            </w:p>
          </w:tc>
          <w:tc>
            <w:tcPr>
              <w:tcW w:w="731" w:type="pct"/>
              <w:shd w:val="clear" w:color="auto" w:fill="auto"/>
              <w:vAlign w:val="center"/>
              <w:hideMark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4 </w:t>
              </w:r>
            </w:p>
          </w:tc>
          <w:tc>
            <w:tcPr>
              <w:tcW w:w="632" w:type="pct"/>
              <w:shd w:val="clear" w:color="auto" w:fill="auto"/>
              <w:vAlign w:val="center"/>
              <w:hideMark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 5</w:t>
              </w:r>
            </w:p>
          </w:tc>
          <w:tc>
            <w:tcPr>
              <w:tcW w:w="410" w:type="pct"/>
              <w:shd w:val="clear" w:color="auto" w:fill="auto"/>
              <w:vAlign w:val="center"/>
              <w:hideMark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6 </w:t>
              </w:r>
            </w:p>
          </w:tc>
          <w:tc>
            <w:tcPr>
              <w:tcW w:w="564" w:type="pct"/>
              <w:shd w:val="clear" w:color="auto" w:fill="auto"/>
              <w:vAlign w:val="center"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7 </w:t>
              </w:r>
            </w:p>
          </w:tc>
          <w:tc>
            <w:tcPr>
              <w:tcW w:w="657" w:type="pct"/>
              <w:vAlign w:val="center"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8 </w:t>
              </w:r>
            </w:p>
          </w:tc>
          <w:tc>
            <w:tcPr>
              <w:tcW w:w="801" w:type="pct"/>
              <w:vAlign w:val="center"/>
            </w:tcPr>
            <w:p w:rsidR="008D6EFF" w:rsidRPr="00CC4475" w:rsidRDefault="008D6EFF" w:rsidP="00490DE8">
              <w:pPr>
                <w:spacing w:after="0" w:line="240" w:lineRule="auto"/>
                <w:jc w:val="center"/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</w:pPr>
              <w:r w:rsidRPr="00CC447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9</w:t>
              </w:r>
            </w:p>
          </w:tc>
        </w:tr>
      </w:tbl>
      <w:p w:rsidR="008D6EFF" w:rsidRPr="008D6EFF" w:rsidRDefault="008D6EFF" w:rsidP="008D6EFF">
        <w:pPr>
          <w:pStyle w:val="a9"/>
          <w:tabs>
            <w:tab w:val="left" w:pos="14002"/>
          </w:tabs>
          <w:spacing w:after="0"/>
          <w:ind w:right="108"/>
          <w:contextualSpacing/>
          <w:rPr>
            <w:rFonts w:ascii="Times New Roman" w:hAnsi="Times New Roman"/>
            <w:sz w:val="2"/>
            <w:szCs w:val="2"/>
          </w:rPr>
        </w:pPr>
      </w:p>
      <w:p w:rsidR="00CC4475" w:rsidRPr="00CC4475" w:rsidRDefault="001550FA" w:rsidP="00CC4475">
        <w:pPr>
          <w:pStyle w:val="a9"/>
          <w:spacing w:after="0" w:line="240" w:lineRule="auto"/>
          <w:contextualSpacing/>
          <w:jc w:val="right"/>
          <w:rPr>
            <w:sz w:val="2"/>
            <w:szCs w:val="2"/>
          </w:rPr>
        </w:pPr>
      </w:p>
    </w:sdtContent>
  </w:sdt>
  <w:p w:rsidR="00CC4475" w:rsidRPr="00CC4475" w:rsidRDefault="00CC4475" w:rsidP="00CC4475">
    <w:pPr>
      <w:pStyle w:val="a9"/>
      <w:spacing w:after="0" w:line="240" w:lineRule="auto"/>
      <w:contextualSpacing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728"/>
    <w:multiLevelType w:val="hybridMultilevel"/>
    <w:tmpl w:val="3594D612"/>
    <w:lvl w:ilvl="0" w:tplc="CB0AF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D5198"/>
    <w:multiLevelType w:val="hybridMultilevel"/>
    <w:tmpl w:val="A2505EB2"/>
    <w:lvl w:ilvl="0" w:tplc="6562C9E2">
      <w:start w:val="1"/>
      <w:numFmt w:val="decimal"/>
      <w:lvlText w:val="%1."/>
      <w:lvlJc w:val="left"/>
      <w:pPr>
        <w:ind w:left="1455" w:hanging="91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91A64"/>
    <w:multiLevelType w:val="hybridMultilevel"/>
    <w:tmpl w:val="EB7EBF64"/>
    <w:lvl w:ilvl="0" w:tplc="5BB80E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504480"/>
    <w:multiLevelType w:val="hybridMultilevel"/>
    <w:tmpl w:val="48AAF39E"/>
    <w:lvl w:ilvl="0" w:tplc="CB0AF0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6805EF"/>
    <w:multiLevelType w:val="hybridMultilevel"/>
    <w:tmpl w:val="C1243912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C42D9D"/>
    <w:multiLevelType w:val="hybridMultilevel"/>
    <w:tmpl w:val="1BC837EE"/>
    <w:lvl w:ilvl="0" w:tplc="6B725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724164"/>
    <w:multiLevelType w:val="hybridMultilevel"/>
    <w:tmpl w:val="DE26FCD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C77632"/>
    <w:multiLevelType w:val="hybridMultilevel"/>
    <w:tmpl w:val="570CE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505DB5"/>
    <w:multiLevelType w:val="hybridMultilevel"/>
    <w:tmpl w:val="CAE8CC1E"/>
    <w:lvl w:ilvl="0" w:tplc="97DECF06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D2C74"/>
    <w:multiLevelType w:val="hybridMultilevel"/>
    <w:tmpl w:val="C860943E"/>
    <w:lvl w:ilvl="0" w:tplc="69ECFF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8B52CB5"/>
    <w:multiLevelType w:val="hybridMultilevel"/>
    <w:tmpl w:val="DE502580"/>
    <w:lvl w:ilvl="0" w:tplc="51CA1FA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0353FC"/>
    <w:multiLevelType w:val="hybridMultilevel"/>
    <w:tmpl w:val="3D94B74A"/>
    <w:lvl w:ilvl="0" w:tplc="B3A0B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952F94"/>
    <w:multiLevelType w:val="hybridMultilevel"/>
    <w:tmpl w:val="DE26FCD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AE761D"/>
    <w:multiLevelType w:val="hybridMultilevel"/>
    <w:tmpl w:val="DDE2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A2"/>
    <w:rsid w:val="000007A7"/>
    <w:rsid w:val="0000515D"/>
    <w:rsid w:val="00006934"/>
    <w:rsid w:val="00010D15"/>
    <w:rsid w:val="00010E20"/>
    <w:rsid w:val="00011016"/>
    <w:rsid w:val="000127DA"/>
    <w:rsid w:val="00013A70"/>
    <w:rsid w:val="000157D1"/>
    <w:rsid w:val="00025379"/>
    <w:rsid w:val="00026BF9"/>
    <w:rsid w:val="00027DE3"/>
    <w:rsid w:val="000317CE"/>
    <w:rsid w:val="00031DA6"/>
    <w:rsid w:val="0004656C"/>
    <w:rsid w:val="00046AA3"/>
    <w:rsid w:val="00050C59"/>
    <w:rsid w:val="0005486A"/>
    <w:rsid w:val="000550CE"/>
    <w:rsid w:val="00055C64"/>
    <w:rsid w:val="00061883"/>
    <w:rsid w:val="000707D6"/>
    <w:rsid w:val="00074428"/>
    <w:rsid w:val="000871D8"/>
    <w:rsid w:val="00091E09"/>
    <w:rsid w:val="0009388E"/>
    <w:rsid w:val="00094663"/>
    <w:rsid w:val="00095A8B"/>
    <w:rsid w:val="000A4B83"/>
    <w:rsid w:val="000A6B15"/>
    <w:rsid w:val="000A7857"/>
    <w:rsid w:val="000B1349"/>
    <w:rsid w:val="000B1EBE"/>
    <w:rsid w:val="000C5489"/>
    <w:rsid w:val="000D4806"/>
    <w:rsid w:val="000D6A36"/>
    <w:rsid w:val="000D7E8C"/>
    <w:rsid w:val="000E2F19"/>
    <w:rsid w:val="000E3918"/>
    <w:rsid w:val="000E5644"/>
    <w:rsid w:val="000E71A6"/>
    <w:rsid w:val="000F1D59"/>
    <w:rsid w:val="000F66C0"/>
    <w:rsid w:val="001047F6"/>
    <w:rsid w:val="00113667"/>
    <w:rsid w:val="0011366D"/>
    <w:rsid w:val="0011458E"/>
    <w:rsid w:val="00120777"/>
    <w:rsid w:val="00121AA2"/>
    <w:rsid w:val="00133586"/>
    <w:rsid w:val="00135673"/>
    <w:rsid w:val="00137DE2"/>
    <w:rsid w:val="00146BAD"/>
    <w:rsid w:val="001550FA"/>
    <w:rsid w:val="00161568"/>
    <w:rsid w:val="00163A2E"/>
    <w:rsid w:val="00166300"/>
    <w:rsid w:val="001672EA"/>
    <w:rsid w:val="00167D89"/>
    <w:rsid w:val="00174766"/>
    <w:rsid w:val="00184B7A"/>
    <w:rsid w:val="001903F5"/>
    <w:rsid w:val="00195E5A"/>
    <w:rsid w:val="001A1FAB"/>
    <w:rsid w:val="001A4C0A"/>
    <w:rsid w:val="001A615A"/>
    <w:rsid w:val="001B0228"/>
    <w:rsid w:val="001B05A9"/>
    <w:rsid w:val="001B0FC0"/>
    <w:rsid w:val="001B61FB"/>
    <w:rsid w:val="001C2CD7"/>
    <w:rsid w:val="001C4777"/>
    <w:rsid w:val="001D33E0"/>
    <w:rsid w:val="001D7766"/>
    <w:rsid w:val="001E1581"/>
    <w:rsid w:val="001E192C"/>
    <w:rsid w:val="001E1F22"/>
    <w:rsid w:val="001E253F"/>
    <w:rsid w:val="001E4A6C"/>
    <w:rsid w:val="001E61D2"/>
    <w:rsid w:val="001E6C3E"/>
    <w:rsid w:val="001F138A"/>
    <w:rsid w:val="001F5536"/>
    <w:rsid w:val="001F740B"/>
    <w:rsid w:val="00200338"/>
    <w:rsid w:val="002071DB"/>
    <w:rsid w:val="002116E9"/>
    <w:rsid w:val="00220255"/>
    <w:rsid w:val="00226A3C"/>
    <w:rsid w:val="0023435F"/>
    <w:rsid w:val="00235D15"/>
    <w:rsid w:val="00237EDB"/>
    <w:rsid w:val="002450DB"/>
    <w:rsid w:val="00255D0B"/>
    <w:rsid w:val="00256596"/>
    <w:rsid w:val="00256945"/>
    <w:rsid w:val="00262098"/>
    <w:rsid w:val="00262754"/>
    <w:rsid w:val="0027564C"/>
    <w:rsid w:val="00275A6D"/>
    <w:rsid w:val="0028780A"/>
    <w:rsid w:val="0029740F"/>
    <w:rsid w:val="002A21CC"/>
    <w:rsid w:val="002A3BBF"/>
    <w:rsid w:val="002A506E"/>
    <w:rsid w:val="002B3041"/>
    <w:rsid w:val="002B50AA"/>
    <w:rsid w:val="002B50C4"/>
    <w:rsid w:val="002B60A6"/>
    <w:rsid w:val="002C32E2"/>
    <w:rsid w:val="002C5DFE"/>
    <w:rsid w:val="002D56A9"/>
    <w:rsid w:val="002D5D99"/>
    <w:rsid w:val="002D73FB"/>
    <w:rsid w:val="002E2D5B"/>
    <w:rsid w:val="002E6E36"/>
    <w:rsid w:val="002F13A8"/>
    <w:rsid w:val="002F16E8"/>
    <w:rsid w:val="002F5903"/>
    <w:rsid w:val="002F7B93"/>
    <w:rsid w:val="00301E94"/>
    <w:rsid w:val="0030260E"/>
    <w:rsid w:val="003165A1"/>
    <w:rsid w:val="00327DF8"/>
    <w:rsid w:val="0033058A"/>
    <w:rsid w:val="00331B59"/>
    <w:rsid w:val="00332B50"/>
    <w:rsid w:val="003342B5"/>
    <w:rsid w:val="0033717F"/>
    <w:rsid w:val="00340030"/>
    <w:rsid w:val="003453D2"/>
    <w:rsid w:val="003460CD"/>
    <w:rsid w:val="003536A1"/>
    <w:rsid w:val="00360CB9"/>
    <w:rsid w:val="00376C4A"/>
    <w:rsid w:val="00376ED4"/>
    <w:rsid w:val="00380E58"/>
    <w:rsid w:val="0038234D"/>
    <w:rsid w:val="00382CA9"/>
    <w:rsid w:val="00382F29"/>
    <w:rsid w:val="00393822"/>
    <w:rsid w:val="0039473D"/>
    <w:rsid w:val="003A584C"/>
    <w:rsid w:val="003B629F"/>
    <w:rsid w:val="003C4EBC"/>
    <w:rsid w:val="003C67BA"/>
    <w:rsid w:val="003C6E2F"/>
    <w:rsid w:val="003F4C47"/>
    <w:rsid w:val="003F6CEC"/>
    <w:rsid w:val="00405CDA"/>
    <w:rsid w:val="0041239A"/>
    <w:rsid w:val="00415185"/>
    <w:rsid w:val="00425075"/>
    <w:rsid w:val="00425699"/>
    <w:rsid w:val="00426803"/>
    <w:rsid w:val="004330F8"/>
    <w:rsid w:val="00433FAF"/>
    <w:rsid w:val="00435C8B"/>
    <w:rsid w:val="004458BA"/>
    <w:rsid w:val="00452425"/>
    <w:rsid w:val="00453D4B"/>
    <w:rsid w:val="004548CE"/>
    <w:rsid w:val="0045625D"/>
    <w:rsid w:val="00460CD4"/>
    <w:rsid w:val="004610B2"/>
    <w:rsid w:val="004632DF"/>
    <w:rsid w:val="00464868"/>
    <w:rsid w:val="00474523"/>
    <w:rsid w:val="00481084"/>
    <w:rsid w:val="00482B6E"/>
    <w:rsid w:val="0048387A"/>
    <w:rsid w:val="0048771C"/>
    <w:rsid w:val="00487F30"/>
    <w:rsid w:val="00491636"/>
    <w:rsid w:val="004A5CAA"/>
    <w:rsid w:val="004B41C4"/>
    <w:rsid w:val="004B5CA8"/>
    <w:rsid w:val="004C3313"/>
    <w:rsid w:val="004D0F23"/>
    <w:rsid w:val="004D1AE5"/>
    <w:rsid w:val="004D2852"/>
    <w:rsid w:val="004D4AC9"/>
    <w:rsid w:val="004D4EAE"/>
    <w:rsid w:val="004D596E"/>
    <w:rsid w:val="004D7D78"/>
    <w:rsid w:val="004E11E1"/>
    <w:rsid w:val="004E1313"/>
    <w:rsid w:val="004E4DF1"/>
    <w:rsid w:val="004E588B"/>
    <w:rsid w:val="00501773"/>
    <w:rsid w:val="00505B17"/>
    <w:rsid w:val="0050632B"/>
    <w:rsid w:val="00506A63"/>
    <w:rsid w:val="00512390"/>
    <w:rsid w:val="00512A5B"/>
    <w:rsid w:val="00522D4F"/>
    <w:rsid w:val="00523F37"/>
    <w:rsid w:val="00527967"/>
    <w:rsid w:val="005326DF"/>
    <w:rsid w:val="0053453F"/>
    <w:rsid w:val="00546F05"/>
    <w:rsid w:val="00547D75"/>
    <w:rsid w:val="00551FEE"/>
    <w:rsid w:val="00552304"/>
    <w:rsid w:val="00553D77"/>
    <w:rsid w:val="00562613"/>
    <w:rsid w:val="005635D5"/>
    <w:rsid w:val="00564CB9"/>
    <w:rsid w:val="005679F0"/>
    <w:rsid w:val="00570BDE"/>
    <w:rsid w:val="00571234"/>
    <w:rsid w:val="00590A64"/>
    <w:rsid w:val="005A1992"/>
    <w:rsid w:val="005A289A"/>
    <w:rsid w:val="005A2A72"/>
    <w:rsid w:val="005A3DF7"/>
    <w:rsid w:val="005B2946"/>
    <w:rsid w:val="005B2E4A"/>
    <w:rsid w:val="005B383D"/>
    <w:rsid w:val="005B3C94"/>
    <w:rsid w:val="005C4375"/>
    <w:rsid w:val="005D666C"/>
    <w:rsid w:val="005E2B00"/>
    <w:rsid w:val="005F1F1C"/>
    <w:rsid w:val="005F21E4"/>
    <w:rsid w:val="005F64BA"/>
    <w:rsid w:val="0060051B"/>
    <w:rsid w:val="0060135B"/>
    <w:rsid w:val="00607034"/>
    <w:rsid w:val="00611227"/>
    <w:rsid w:val="00611C8B"/>
    <w:rsid w:val="00611DD6"/>
    <w:rsid w:val="0061512F"/>
    <w:rsid w:val="006225CC"/>
    <w:rsid w:val="006256CE"/>
    <w:rsid w:val="00641C8B"/>
    <w:rsid w:val="00644EB3"/>
    <w:rsid w:val="0064513D"/>
    <w:rsid w:val="00645270"/>
    <w:rsid w:val="006472B3"/>
    <w:rsid w:val="006560AB"/>
    <w:rsid w:val="006575F1"/>
    <w:rsid w:val="00662F75"/>
    <w:rsid w:val="00667425"/>
    <w:rsid w:val="00676A58"/>
    <w:rsid w:val="00680C00"/>
    <w:rsid w:val="006854DB"/>
    <w:rsid w:val="006905E5"/>
    <w:rsid w:val="006979CD"/>
    <w:rsid w:val="006A171A"/>
    <w:rsid w:val="006A37F3"/>
    <w:rsid w:val="006B7170"/>
    <w:rsid w:val="006C4108"/>
    <w:rsid w:val="006C5AAD"/>
    <w:rsid w:val="006E00E9"/>
    <w:rsid w:val="006E44BE"/>
    <w:rsid w:val="006F0A3C"/>
    <w:rsid w:val="006F11A4"/>
    <w:rsid w:val="006F50BB"/>
    <w:rsid w:val="007074E9"/>
    <w:rsid w:val="00711A8F"/>
    <w:rsid w:val="00711B84"/>
    <w:rsid w:val="0072082C"/>
    <w:rsid w:val="00734312"/>
    <w:rsid w:val="007353AE"/>
    <w:rsid w:val="00744B6A"/>
    <w:rsid w:val="00745D66"/>
    <w:rsid w:val="007514FE"/>
    <w:rsid w:val="00754F65"/>
    <w:rsid w:val="00757E69"/>
    <w:rsid w:val="00764485"/>
    <w:rsid w:val="00765853"/>
    <w:rsid w:val="00767922"/>
    <w:rsid w:val="007718C7"/>
    <w:rsid w:val="00771DD8"/>
    <w:rsid w:val="00774990"/>
    <w:rsid w:val="007766AC"/>
    <w:rsid w:val="00777748"/>
    <w:rsid w:val="00781774"/>
    <w:rsid w:val="0078539C"/>
    <w:rsid w:val="007861B1"/>
    <w:rsid w:val="0079196A"/>
    <w:rsid w:val="00793A5C"/>
    <w:rsid w:val="00794857"/>
    <w:rsid w:val="007A115F"/>
    <w:rsid w:val="007A116A"/>
    <w:rsid w:val="007A2667"/>
    <w:rsid w:val="007B175F"/>
    <w:rsid w:val="007B3AAA"/>
    <w:rsid w:val="007D0E4A"/>
    <w:rsid w:val="007E1C3D"/>
    <w:rsid w:val="007E3D2A"/>
    <w:rsid w:val="007F5D36"/>
    <w:rsid w:val="007F7F09"/>
    <w:rsid w:val="00810B6B"/>
    <w:rsid w:val="00820806"/>
    <w:rsid w:val="00820827"/>
    <w:rsid w:val="00820C7B"/>
    <w:rsid w:val="00823B96"/>
    <w:rsid w:val="00824C61"/>
    <w:rsid w:val="00831F58"/>
    <w:rsid w:val="00835E8D"/>
    <w:rsid w:val="00840223"/>
    <w:rsid w:val="008445D3"/>
    <w:rsid w:val="008540D6"/>
    <w:rsid w:val="00864F08"/>
    <w:rsid w:val="00865A08"/>
    <w:rsid w:val="008664D0"/>
    <w:rsid w:val="00867841"/>
    <w:rsid w:val="00871B19"/>
    <w:rsid w:val="00875EF7"/>
    <w:rsid w:val="00884699"/>
    <w:rsid w:val="00887445"/>
    <w:rsid w:val="00890603"/>
    <w:rsid w:val="00890A29"/>
    <w:rsid w:val="00895406"/>
    <w:rsid w:val="00896DC6"/>
    <w:rsid w:val="008A30DA"/>
    <w:rsid w:val="008B6DAD"/>
    <w:rsid w:val="008C067D"/>
    <w:rsid w:val="008C5B47"/>
    <w:rsid w:val="008D6EFF"/>
    <w:rsid w:val="008E351B"/>
    <w:rsid w:val="008E3D8E"/>
    <w:rsid w:val="008E7577"/>
    <w:rsid w:val="008F21D6"/>
    <w:rsid w:val="008F3D91"/>
    <w:rsid w:val="008F5218"/>
    <w:rsid w:val="0090386F"/>
    <w:rsid w:val="00912DF8"/>
    <w:rsid w:val="00917C38"/>
    <w:rsid w:val="00926294"/>
    <w:rsid w:val="00926D67"/>
    <w:rsid w:val="00935EDA"/>
    <w:rsid w:val="0095111C"/>
    <w:rsid w:val="009571C3"/>
    <w:rsid w:val="009578CB"/>
    <w:rsid w:val="009645B4"/>
    <w:rsid w:val="0097399A"/>
    <w:rsid w:val="00975264"/>
    <w:rsid w:val="00980829"/>
    <w:rsid w:val="00993E8A"/>
    <w:rsid w:val="009A1896"/>
    <w:rsid w:val="009A209E"/>
    <w:rsid w:val="009A3426"/>
    <w:rsid w:val="009A6057"/>
    <w:rsid w:val="009A6D0C"/>
    <w:rsid w:val="009B54A9"/>
    <w:rsid w:val="009B7C06"/>
    <w:rsid w:val="009D1689"/>
    <w:rsid w:val="009D19F0"/>
    <w:rsid w:val="009D5134"/>
    <w:rsid w:val="009D7F21"/>
    <w:rsid w:val="009E32AE"/>
    <w:rsid w:val="009E5375"/>
    <w:rsid w:val="009E6D7E"/>
    <w:rsid w:val="009F298B"/>
    <w:rsid w:val="009F44F3"/>
    <w:rsid w:val="00A05CB6"/>
    <w:rsid w:val="00A063EC"/>
    <w:rsid w:val="00A13729"/>
    <w:rsid w:val="00A13AB7"/>
    <w:rsid w:val="00A17F38"/>
    <w:rsid w:val="00A226F5"/>
    <w:rsid w:val="00A24CC5"/>
    <w:rsid w:val="00A2668C"/>
    <w:rsid w:val="00A306E7"/>
    <w:rsid w:val="00A31666"/>
    <w:rsid w:val="00A34BBA"/>
    <w:rsid w:val="00A36396"/>
    <w:rsid w:val="00A406C0"/>
    <w:rsid w:val="00A40F88"/>
    <w:rsid w:val="00A441D9"/>
    <w:rsid w:val="00A44DAC"/>
    <w:rsid w:val="00A46350"/>
    <w:rsid w:val="00A46662"/>
    <w:rsid w:val="00A5120C"/>
    <w:rsid w:val="00A52824"/>
    <w:rsid w:val="00A52841"/>
    <w:rsid w:val="00A53030"/>
    <w:rsid w:val="00A5319E"/>
    <w:rsid w:val="00A571B2"/>
    <w:rsid w:val="00A60D01"/>
    <w:rsid w:val="00A6307A"/>
    <w:rsid w:val="00A64543"/>
    <w:rsid w:val="00A835B3"/>
    <w:rsid w:val="00A91EFC"/>
    <w:rsid w:val="00A92E83"/>
    <w:rsid w:val="00A93D7E"/>
    <w:rsid w:val="00A94655"/>
    <w:rsid w:val="00A94C55"/>
    <w:rsid w:val="00AA104A"/>
    <w:rsid w:val="00AC029D"/>
    <w:rsid w:val="00AC0484"/>
    <w:rsid w:val="00AC66DE"/>
    <w:rsid w:val="00AD51AF"/>
    <w:rsid w:val="00AD7477"/>
    <w:rsid w:val="00AE6733"/>
    <w:rsid w:val="00AF1331"/>
    <w:rsid w:val="00AF1CD6"/>
    <w:rsid w:val="00B0034D"/>
    <w:rsid w:val="00B2366D"/>
    <w:rsid w:val="00B24DCA"/>
    <w:rsid w:val="00B25F16"/>
    <w:rsid w:val="00B30B1B"/>
    <w:rsid w:val="00B3168E"/>
    <w:rsid w:val="00B31E57"/>
    <w:rsid w:val="00B33452"/>
    <w:rsid w:val="00B371C3"/>
    <w:rsid w:val="00B37D4C"/>
    <w:rsid w:val="00B41179"/>
    <w:rsid w:val="00B47137"/>
    <w:rsid w:val="00B67043"/>
    <w:rsid w:val="00B706DE"/>
    <w:rsid w:val="00B718F8"/>
    <w:rsid w:val="00B7195C"/>
    <w:rsid w:val="00B727AA"/>
    <w:rsid w:val="00B73DD0"/>
    <w:rsid w:val="00B75447"/>
    <w:rsid w:val="00B813F1"/>
    <w:rsid w:val="00B82AEA"/>
    <w:rsid w:val="00B831BA"/>
    <w:rsid w:val="00B85021"/>
    <w:rsid w:val="00B8608F"/>
    <w:rsid w:val="00B86F18"/>
    <w:rsid w:val="00B87E70"/>
    <w:rsid w:val="00B96F8D"/>
    <w:rsid w:val="00B970C6"/>
    <w:rsid w:val="00BB38EA"/>
    <w:rsid w:val="00BB6DFC"/>
    <w:rsid w:val="00BC0852"/>
    <w:rsid w:val="00BC1614"/>
    <w:rsid w:val="00BC2238"/>
    <w:rsid w:val="00BC2E65"/>
    <w:rsid w:val="00BC7663"/>
    <w:rsid w:val="00BD0F50"/>
    <w:rsid w:val="00BD4765"/>
    <w:rsid w:val="00BD7179"/>
    <w:rsid w:val="00BE1E0C"/>
    <w:rsid w:val="00BE3A00"/>
    <w:rsid w:val="00BE418A"/>
    <w:rsid w:val="00BE5360"/>
    <w:rsid w:val="00BF7981"/>
    <w:rsid w:val="00C0067E"/>
    <w:rsid w:val="00C12FF4"/>
    <w:rsid w:val="00C13A3F"/>
    <w:rsid w:val="00C13E61"/>
    <w:rsid w:val="00C22E89"/>
    <w:rsid w:val="00C318C1"/>
    <w:rsid w:val="00C3247D"/>
    <w:rsid w:val="00C3721F"/>
    <w:rsid w:val="00C41211"/>
    <w:rsid w:val="00C41C7F"/>
    <w:rsid w:val="00C45410"/>
    <w:rsid w:val="00C47D40"/>
    <w:rsid w:val="00C50B25"/>
    <w:rsid w:val="00C52B77"/>
    <w:rsid w:val="00C534ED"/>
    <w:rsid w:val="00C53AA2"/>
    <w:rsid w:val="00C66CF7"/>
    <w:rsid w:val="00C707C0"/>
    <w:rsid w:val="00C764EE"/>
    <w:rsid w:val="00C80099"/>
    <w:rsid w:val="00C85C6B"/>
    <w:rsid w:val="00C90490"/>
    <w:rsid w:val="00C9163E"/>
    <w:rsid w:val="00C94A96"/>
    <w:rsid w:val="00C97A8F"/>
    <w:rsid w:val="00CA38D1"/>
    <w:rsid w:val="00CB68E4"/>
    <w:rsid w:val="00CB6E56"/>
    <w:rsid w:val="00CB7A01"/>
    <w:rsid w:val="00CC4475"/>
    <w:rsid w:val="00CD19DF"/>
    <w:rsid w:val="00CD6ED6"/>
    <w:rsid w:val="00CD79B3"/>
    <w:rsid w:val="00CE5F88"/>
    <w:rsid w:val="00CE626D"/>
    <w:rsid w:val="00CF15DD"/>
    <w:rsid w:val="00CF1717"/>
    <w:rsid w:val="00CF5370"/>
    <w:rsid w:val="00D015ED"/>
    <w:rsid w:val="00D108C0"/>
    <w:rsid w:val="00D11127"/>
    <w:rsid w:val="00D420BA"/>
    <w:rsid w:val="00D43522"/>
    <w:rsid w:val="00D44B27"/>
    <w:rsid w:val="00D51917"/>
    <w:rsid w:val="00D556BF"/>
    <w:rsid w:val="00D645D7"/>
    <w:rsid w:val="00D676F1"/>
    <w:rsid w:val="00D71A24"/>
    <w:rsid w:val="00D71A47"/>
    <w:rsid w:val="00D75F5B"/>
    <w:rsid w:val="00D76955"/>
    <w:rsid w:val="00D84868"/>
    <w:rsid w:val="00D8686F"/>
    <w:rsid w:val="00D913B7"/>
    <w:rsid w:val="00D939E6"/>
    <w:rsid w:val="00D94DFA"/>
    <w:rsid w:val="00D955E8"/>
    <w:rsid w:val="00D95A23"/>
    <w:rsid w:val="00DA0659"/>
    <w:rsid w:val="00DC168B"/>
    <w:rsid w:val="00DC25C2"/>
    <w:rsid w:val="00DC2853"/>
    <w:rsid w:val="00DC3E37"/>
    <w:rsid w:val="00DD7E73"/>
    <w:rsid w:val="00DE18C3"/>
    <w:rsid w:val="00DE1F19"/>
    <w:rsid w:val="00E03ACA"/>
    <w:rsid w:val="00E049B4"/>
    <w:rsid w:val="00E074F8"/>
    <w:rsid w:val="00E10787"/>
    <w:rsid w:val="00E15275"/>
    <w:rsid w:val="00E220A9"/>
    <w:rsid w:val="00E30616"/>
    <w:rsid w:val="00E310CD"/>
    <w:rsid w:val="00E328CA"/>
    <w:rsid w:val="00E36F79"/>
    <w:rsid w:val="00E3784D"/>
    <w:rsid w:val="00E43627"/>
    <w:rsid w:val="00E45C5F"/>
    <w:rsid w:val="00E50438"/>
    <w:rsid w:val="00E56D92"/>
    <w:rsid w:val="00E66D0A"/>
    <w:rsid w:val="00E84AE1"/>
    <w:rsid w:val="00EA4CCB"/>
    <w:rsid w:val="00EA653A"/>
    <w:rsid w:val="00EB1E08"/>
    <w:rsid w:val="00EB2699"/>
    <w:rsid w:val="00EB297A"/>
    <w:rsid w:val="00EC1051"/>
    <w:rsid w:val="00EC36A9"/>
    <w:rsid w:val="00EC4302"/>
    <w:rsid w:val="00EC71CA"/>
    <w:rsid w:val="00ED2333"/>
    <w:rsid w:val="00ED4687"/>
    <w:rsid w:val="00ED55A5"/>
    <w:rsid w:val="00ED5642"/>
    <w:rsid w:val="00EE1889"/>
    <w:rsid w:val="00EE55CF"/>
    <w:rsid w:val="00EE6B53"/>
    <w:rsid w:val="00EF31F5"/>
    <w:rsid w:val="00EF6636"/>
    <w:rsid w:val="00F00DBC"/>
    <w:rsid w:val="00F0193E"/>
    <w:rsid w:val="00F025C7"/>
    <w:rsid w:val="00F23062"/>
    <w:rsid w:val="00F2763E"/>
    <w:rsid w:val="00F27B5B"/>
    <w:rsid w:val="00F36101"/>
    <w:rsid w:val="00F37E18"/>
    <w:rsid w:val="00F40C79"/>
    <w:rsid w:val="00F5261C"/>
    <w:rsid w:val="00F52D3B"/>
    <w:rsid w:val="00F6102A"/>
    <w:rsid w:val="00F63EF3"/>
    <w:rsid w:val="00F707FC"/>
    <w:rsid w:val="00F730C8"/>
    <w:rsid w:val="00F81250"/>
    <w:rsid w:val="00F82430"/>
    <w:rsid w:val="00F84033"/>
    <w:rsid w:val="00F8658D"/>
    <w:rsid w:val="00F9752D"/>
    <w:rsid w:val="00FA629E"/>
    <w:rsid w:val="00FC3F94"/>
    <w:rsid w:val="00FC6C9D"/>
    <w:rsid w:val="00FC7BFB"/>
    <w:rsid w:val="00FD119F"/>
    <w:rsid w:val="00FD4EC1"/>
    <w:rsid w:val="00FD5AC1"/>
    <w:rsid w:val="00FE0106"/>
    <w:rsid w:val="00FE10E6"/>
    <w:rsid w:val="00FE2C9C"/>
    <w:rsid w:val="00FE2F76"/>
    <w:rsid w:val="00FF150C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1AA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AC66DE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9752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975264"/>
    <w:rPr>
      <w:sz w:val="20"/>
      <w:szCs w:val="20"/>
    </w:rPr>
  </w:style>
  <w:style w:type="character" w:styleId="a6">
    <w:name w:val="annotation reference"/>
    <w:uiPriority w:val="99"/>
    <w:semiHidden/>
    <w:unhideWhenUsed/>
    <w:rsid w:val="0097526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7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52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1A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D1AE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D1A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D1AE5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8540D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2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C97A8F"/>
    <w:pPr>
      <w:spacing w:line="276" w:lineRule="auto"/>
    </w:pPr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97A8F"/>
    <w:rPr>
      <w:b/>
      <w:bCs/>
      <w:sz w:val="20"/>
      <w:szCs w:val="20"/>
      <w:lang w:eastAsia="en-US"/>
    </w:rPr>
  </w:style>
  <w:style w:type="paragraph" w:customStyle="1" w:styleId="ConsPlusNormal">
    <w:name w:val="ConsPlusNormal"/>
    <w:rsid w:val="00FE2C9C"/>
    <w:pPr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rsid w:val="0082080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f1">
    <w:name w:val="Revision"/>
    <w:hidden/>
    <w:uiPriority w:val="99"/>
    <w:semiHidden/>
    <w:rsid w:val="00B850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1AA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AC66DE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9752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975264"/>
    <w:rPr>
      <w:sz w:val="20"/>
      <w:szCs w:val="20"/>
    </w:rPr>
  </w:style>
  <w:style w:type="character" w:styleId="a6">
    <w:name w:val="annotation reference"/>
    <w:uiPriority w:val="99"/>
    <w:semiHidden/>
    <w:unhideWhenUsed/>
    <w:rsid w:val="0097526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7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52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1A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D1AE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D1A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D1AE5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8540D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2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C97A8F"/>
    <w:pPr>
      <w:spacing w:line="276" w:lineRule="auto"/>
    </w:pPr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97A8F"/>
    <w:rPr>
      <w:b/>
      <w:bCs/>
      <w:sz w:val="20"/>
      <w:szCs w:val="20"/>
      <w:lang w:eastAsia="en-US"/>
    </w:rPr>
  </w:style>
  <w:style w:type="paragraph" w:customStyle="1" w:styleId="ConsPlusNormal">
    <w:name w:val="ConsPlusNormal"/>
    <w:rsid w:val="00FE2C9C"/>
    <w:pPr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rsid w:val="0082080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f1">
    <w:name w:val="Revision"/>
    <w:hidden/>
    <w:uiPriority w:val="99"/>
    <w:semiHidden/>
    <w:rsid w:val="00B850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1B23-9732-434D-A78F-9AB022C4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Links>
    <vt:vector size="24" baseType="variant"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consultantplus://offline/ref=D2427DCDC3E5A9473A464935D76D9CD031F5FD6FB557058D0DB9BB7D3E8012F3C8027E60B6C9EAEAn4J6H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consultantplus://offline/ref=D2427DCDC3E5A9473A464935D76D9CD031F5FD6FB557058D0DB9BB7D3E8012F3C8027E60B6C9E9EEn4JAH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consultantplus://offline/ref=D2427DCDC3E5A9473A464935D76D9CD031F5FD6FB557058D0DB9BB7D3En8J0H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ОЛЬГА ВЛАДИМИРОВНА</dc:creator>
  <cp:lastModifiedBy>Евгений С. Полосин</cp:lastModifiedBy>
  <cp:revision>2</cp:revision>
  <cp:lastPrinted>2017-03-06T17:25:00Z</cp:lastPrinted>
  <dcterms:created xsi:type="dcterms:W3CDTF">2022-08-17T06:08:00Z</dcterms:created>
  <dcterms:modified xsi:type="dcterms:W3CDTF">2022-08-17T06:08:00Z</dcterms:modified>
</cp:coreProperties>
</file>