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E4E7C" w14:textId="77777777" w:rsidR="00563698" w:rsidRPr="00DC7141" w:rsidRDefault="00563698" w:rsidP="00563698">
      <w:pPr>
        <w:spacing w:after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Приложение</w:t>
      </w:r>
      <w:r w:rsidRPr="00DC7141">
        <w:rPr>
          <w:rFonts w:ascii="Times New Roman" w:hAnsi="Times New Roman" w:cs="Times New Roman"/>
          <w:sz w:val="28"/>
          <w:szCs w:val="28"/>
        </w:rPr>
        <w:br/>
        <w:t xml:space="preserve"> к методике прогнозирования</w:t>
      </w:r>
    </w:p>
    <w:p w14:paraId="7275C735" w14:textId="376AA83F" w:rsidR="00563698" w:rsidRPr="00DC7141" w:rsidRDefault="00563698" w:rsidP="00563698">
      <w:pPr>
        <w:spacing w:after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B5750F">
        <w:rPr>
          <w:rFonts w:ascii="Times New Roman" w:hAnsi="Times New Roman" w:cs="Times New Roman"/>
          <w:sz w:val="28"/>
          <w:szCs w:val="28"/>
        </w:rPr>
        <w:t xml:space="preserve"> </w:t>
      </w:r>
      <w:r w:rsidRPr="00DC7141">
        <w:rPr>
          <w:rFonts w:ascii="Times New Roman" w:hAnsi="Times New Roman" w:cs="Times New Roman"/>
          <w:sz w:val="28"/>
          <w:szCs w:val="28"/>
        </w:rPr>
        <w:t xml:space="preserve"> доходов в бюджет</w:t>
      </w:r>
    </w:p>
    <w:p w14:paraId="2B682621" w14:textId="77777777" w:rsidR="00563698" w:rsidRPr="00DC7141" w:rsidRDefault="00563698" w:rsidP="00563698">
      <w:pPr>
        <w:spacing w:after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города Барнаула, главным</w:t>
      </w:r>
    </w:p>
    <w:p w14:paraId="558B8CCA" w14:textId="77777777" w:rsidR="00563698" w:rsidRPr="00DC7141" w:rsidRDefault="00563698" w:rsidP="00563698">
      <w:pPr>
        <w:spacing w:after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>администратором которых является</w:t>
      </w:r>
    </w:p>
    <w:p w14:paraId="0651DF5B" w14:textId="3E627774" w:rsidR="00563698" w:rsidRPr="00DC7141" w:rsidRDefault="00563698" w:rsidP="00563698">
      <w:pPr>
        <w:spacing w:after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7141">
        <w:rPr>
          <w:rFonts w:ascii="Times New Roman" w:hAnsi="Times New Roman" w:cs="Times New Roman"/>
          <w:sz w:val="28"/>
          <w:szCs w:val="28"/>
        </w:rPr>
        <w:t xml:space="preserve"> комитет по </w:t>
      </w:r>
      <w:r w:rsidR="00882809" w:rsidRPr="00DC7141">
        <w:rPr>
          <w:rFonts w:ascii="Times New Roman" w:hAnsi="Times New Roman" w:cs="Times New Roman"/>
          <w:sz w:val="28"/>
          <w:szCs w:val="28"/>
        </w:rPr>
        <w:t>культуре</w:t>
      </w:r>
      <w:r w:rsidRPr="00DC714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14:paraId="0DF25976" w14:textId="77777777" w:rsidR="00563698" w:rsidRPr="00DC7141" w:rsidRDefault="00563698" w:rsidP="00563698">
      <w:pPr>
        <w:spacing w:after="12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14:paraId="255ECE93" w14:textId="77777777" w:rsidR="00563698" w:rsidRPr="00DC7141" w:rsidRDefault="00563698" w:rsidP="00563698">
      <w:pPr>
        <w:spacing w:after="120"/>
        <w:contextualSpacing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DC7141">
        <w:rPr>
          <w:rFonts w:ascii="Times New Roman" w:hAnsi="Times New Roman" w:cs="Times New Roman"/>
          <w:b/>
          <w:bCs/>
          <w:spacing w:val="60"/>
          <w:sz w:val="28"/>
          <w:szCs w:val="28"/>
        </w:rPr>
        <w:t>МЕТОДИКА</w:t>
      </w:r>
    </w:p>
    <w:p w14:paraId="4127948D" w14:textId="0E19867C" w:rsidR="00563698" w:rsidRPr="00B5750F" w:rsidRDefault="00563698" w:rsidP="00563698">
      <w:pPr>
        <w:spacing w:after="24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C7141">
        <w:rPr>
          <w:rFonts w:ascii="Times New Roman" w:hAnsi="Times New Roman" w:cs="Times New Roman"/>
          <w:sz w:val="28"/>
          <w:szCs w:val="28"/>
        </w:rPr>
        <w:t>прогнозирования поступлений доходов в бюджет города Барнаула</w:t>
      </w:r>
      <w:r w:rsidR="003A5541" w:rsidRPr="00DC7141">
        <w:rPr>
          <w:rFonts w:ascii="Times New Roman" w:hAnsi="Times New Roman" w:cs="Times New Roman"/>
          <w:sz w:val="28"/>
          <w:szCs w:val="28"/>
        </w:rPr>
        <w:t>,</w:t>
      </w:r>
      <w:r w:rsidRPr="00DC7141">
        <w:rPr>
          <w:rFonts w:ascii="Times New Roman" w:hAnsi="Times New Roman" w:cs="Times New Roman"/>
          <w:sz w:val="28"/>
          <w:szCs w:val="28"/>
        </w:rPr>
        <w:t xml:space="preserve"> </w:t>
      </w:r>
      <w:r w:rsidR="002A5267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DC7141">
        <w:rPr>
          <w:rFonts w:ascii="Times New Roman" w:hAnsi="Times New Roman" w:cs="Times New Roman"/>
          <w:sz w:val="28"/>
          <w:szCs w:val="28"/>
        </w:rPr>
        <w:t xml:space="preserve">администратором которых является комитет по </w:t>
      </w:r>
      <w:r w:rsidR="003A5541" w:rsidRPr="00DC7141">
        <w:rPr>
          <w:rFonts w:ascii="Times New Roman" w:hAnsi="Times New Roman" w:cs="Times New Roman"/>
          <w:sz w:val="28"/>
          <w:szCs w:val="28"/>
        </w:rPr>
        <w:t>культуре</w:t>
      </w:r>
      <w:r w:rsidRPr="00DC714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14:paraId="267AB313" w14:textId="77777777" w:rsidR="00563698" w:rsidRPr="00B5750F" w:rsidRDefault="00563698" w:rsidP="00563698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499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134"/>
        <w:gridCol w:w="1701"/>
        <w:gridCol w:w="1702"/>
        <w:gridCol w:w="1984"/>
        <w:gridCol w:w="1277"/>
        <w:gridCol w:w="1559"/>
        <w:gridCol w:w="1985"/>
        <w:gridCol w:w="2268"/>
      </w:tblGrid>
      <w:tr w:rsidR="00563698" w:rsidRPr="00B5750F" w14:paraId="09C0376C" w14:textId="77777777" w:rsidTr="003154C0">
        <w:tc>
          <w:tcPr>
            <w:tcW w:w="424" w:type="dxa"/>
            <w:vAlign w:val="center"/>
          </w:tcPr>
          <w:p w14:paraId="4C34AF2D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134" w:type="dxa"/>
            <w:vAlign w:val="center"/>
          </w:tcPr>
          <w:p w14:paraId="1C3131EF" w14:textId="534BCCB4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proofErr w:type="spellEnd"/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-тора</w:t>
            </w:r>
            <w:proofErr w:type="gramEnd"/>
            <w:r w:rsidR="00B5750F"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7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доходов</w:t>
            </w:r>
          </w:p>
        </w:tc>
        <w:tc>
          <w:tcPr>
            <w:tcW w:w="1701" w:type="dxa"/>
          </w:tcPr>
          <w:p w14:paraId="26555679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1702" w:type="dxa"/>
            <w:vAlign w:val="center"/>
          </w:tcPr>
          <w:p w14:paraId="32E31FB9" w14:textId="32186DAF" w:rsidR="00563698" w:rsidRPr="00BC069A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69A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  <w:r w:rsidR="00BC069A" w:rsidRPr="00BC069A">
              <w:rPr>
                <w:rFonts w:ascii="Times New Roman" w:hAnsi="Times New Roman" w:cs="Times New Roman"/>
                <w:sz w:val="16"/>
                <w:szCs w:val="16"/>
              </w:rPr>
              <w:t>- код бюджетной классификации</w:t>
            </w:r>
          </w:p>
        </w:tc>
        <w:tc>
          <w:tcPr>
            <w:tcW w:w="1984" w:type="dxa"/>
            <w:vAlign w:val="center"/>
          </w:tcPr>
          <w:p w14:paraId="4E44C5C9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Наименование КБК доходов</w:t>
            </w:r>
          </w:p>
        </w:tc>
        <w:tc>
          <w:tcPr>
            <w:tcW w:w="1277" w:type="dxa"/>
            <w:vAlign w:val="center"/>
          </w:tcPr>
          <w:p w14:paraId="3F649818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Наименование метода расчета </w:t>
            </w:r>
          </w:p>
        </w:tc>
        <w:tc>
          <w:tcPr>
            <w:tcW w:w="1559" w:type="dxa"/>
            <w:vAlign w:val="center"/>
          </w:tcPr>
          <w:p w14:paraId="112BB606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Формула расчета </w:t>
            </w:r>
          </w:p>
        </w:tc>
        <w:tc>
          <w:tcPr>
            <w:tcW w:w="1985" w:type="dxa"/>
            <w:vAlign w:val="center"/>
          </w:tcPr>
          <w:p w14:paraId="54F2CDD5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Алгоритм расчета </w:t>
            </w:r>
          </w:p>
        </w:tc>
        <w:tc>
          <w:tcPr>
            <w:tcW w:w="2268" w:type="dxa"/>
            <w:vAlign w:val="center"/>
          </w:tcPr>
          <w:p w14:paraId="01CF536D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Описание показателей </w:t>
            </w:r>
          </w:p>
        </w:tc>
      </w:tr>
      <w:tr w:rsidR="00274075" w:rsidRPr="00B5750F" w14:paraId="4EB60C1D" w14:textId="77777777" w:rsidTr="003154C0">
        <w:tc>
          <w:tcPr>
            <w:tcW w:w="424" w:type="dxa"/>
            <w:vAlign w:val="center"/>
          </w:tcPr>
          <w:p w14:paraId="6CFBD95F" w14:textId="38FB950B" w:rsidR="00274075" w:rsidRPr="00B5750F" w:rsidRDefault="00274075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4CF0F8B" w14:textId="26919F0A" w:rsidR="00274075" w:rsidRPr="00B5750F" w:rsidRDefault="00274075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6940F0D" w14:textId="3B8F0685" w:rsidR="00274075" w:rsidRPr="00B5750F" w:rsidRDefault="00274075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  <w:vAlign w:val="center"/>
          </w:tcPr>
          <w:p w14:paraId="59125178" w14:textId="78F9E585" w:rsidR="00274075" w:rsidRPr="00BC069A" w:rsidRDefault="00274075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14:paraId="2ECC4A14" w14:textId="25E70AEA" w:rsidR="00274075" w:rsidRPr="00B5750F" w:rsidRDefault="00274075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7" w:type="dxa"/>
            <w:vAlign w:val="center"/>
          </w:tcPr>
          <w:p w14:paraId="6E42A0CD" w14:textId="2B9A868E" w:rsidR="00274075" w:rsidRPr="00B5750F" w:rsidRDefault="00274075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14:paraId="0D1FD9E1" w14:textId="6228BD5E" w:rsidR="00274075" w:rsidRPr="00B5750F" w:rsidRDefault="00274075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vAlign w:val="center"/>
          </w:tcPr>
          <w:p w14:paraId="19F63487" w14:textId="4FF59970" w:rsidR="00274075" w:rsidRPr="00B5750F" w:rsidRDefault="00274075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14:paraId="1549E3D4" w14:textId="1C0C32CF" w:rsidR="00274075" w:rsidRPr="00B5750F" w:rsidRDefault="00274075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63698" w:rsidRPr="00B5750F" w14:paraId="56FC182E" w14:textId="77777777" w:rsidTr="003154C0">
        <w:trPr>
          <w:trHeight w:val="4133"/>
        </w:trPr>
        <w:tc>
          <w:tcPr>
            <w:tcW w:w="424" w:type="dxa"/>
          </w:tcPr>
          <w:p w14:paraId="2E1ACDE7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14:paraId="5559F312" w14:textId="6AD8BA2D" w:rsidR="00563698" w:rsidRPr="00B5750F" w:rsidRDefault="00DE652D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1701" w:type="dxa"/>
          </w:tcPr>
          <w:p w14:paraId="76CED429" w14:textId="07085FF6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</w:t>
            </w:r>
            <w:r w:rsidR="00DE652D" w:rsidRPr="00B5750F">
              <w:rPr>
                <w:rFonts w:ascii="Times New Roman" w:hAnsi="Times New Roman" w:cs="Times New Roman"/>
                <w:sz w:val="16"/>
                <w:szCs w:val="16"/>
              </w:rPr>
              <w:t>культуре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города Барнаула</w:t>
            </w:r>
          </w:p>
        </w:tc>
        <w:tc>
          <w:tcPr>
            <w:tcW w:w="1702" w:type="dxa"/>
          </w:tcPr>
          <w:p w14:paraId="77AE3083" w14:textId="77777777" w:rsidR="00563698" w:rsidRPr="00B5750F" w:rsidRDefault="00563698" w:rsidP="003154C0">
            <w:pPr>
              <w:spacing w:line="240" w:lineRule="auto"/>
              <w:ind w:right="-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11302994040015130</w:t>
            </w:r>
          </w:p>
        </w:tc>
        <w:tc>
          <w:tcPr>
            <w:tcW w:w="1984" w:type="dxa"/>
          </w:tcPr>
          <w:p w14:paraId="70880919" w14:textId="77777777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277" w:type="dxa"/>
          </w:tcPr>
          <w:p w14:paraId="2DD1F97F" w14:textId="063C95F1" w:rsidR="00563698" w:rsidRPr="00B5750F" w:rsidRDefault="006C401F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Метод усреднения</w:t>
            </w:r>
          </w:p>
        </w:tc>
        <w:tc>
          <w:tcPr>
            <w:tcW w:w="1559" w:type="dxa"/>
          </w:tcPr>
          <w:p w14:paraId="1264B5C6" w14:textId="66F1CA5B" w:rsidR="00563698" w:rsidRPr="00B5750F" w:rsidRDefault="00C16DA6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комп</w:t>
            </w:r>
            <w:proofErr w:type="spellEnd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(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val="en-US" w:eastAsia="ru-RU"/>
              </w:rPr>
              <w:t>y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) 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 [</w:t>
            </w:r>
            <w:proofErr w:type="spellStart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комп</w:t>
            </w:r>
            <w:proofErr w:type="spellEnd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 (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val="en-US" w:eastAsia="ru-RU"/>
              </w:rPr>
              <w:t>y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1) 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 </w:t>
            </w:r>
            <w:proofErr w:type="spellStart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комп</w:t>
            </w:r>
            <w:proofErr w:type="spellEnd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 (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val="en-US" w:eastAsia="ru-RU"/>
              </w:rPr>
              <w:t>y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2) 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 </w:t>
            </w:r>
            <w:proofErr w:type="spellStart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комп</w:t>
            </w:r>
            <w:proofErr w:type="spellEnd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 (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val="en-US" w:eastAsia="ru-RU"/>
              </w:rPr>
              <w:t>y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3)</w:t>
            </w:r>
            <w:r w:rsidR="00F857B6"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]/3+</w:t>
            </w:r>
            <w:r w:rsidR="00F857B6"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="00F857B6"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ДЗ</w:t>
            </w:r>
          </w:p>
          <w:p w14:paraId="6B5D48E3" w14:textId="22EA654A" w:rsidR="00C16DA6" w:rsidRPr="00B5750F" w:rsidRDefault="00C16DA6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4C21ECD" w14:textId="648567B2" w:rsidR="00563698" w:rsidRPr="003154C0" w:rsidRDefault="00D335CE" w:rsidP="003154C0">
            <w:pPr>
              <w:autoSpaceDE w:val="0"/>
              <w:autoSpaceDN w:val="0"/>
              <w:adjustRightInd w:val="0"/>
              <w:spacing w:after="0" w:line="240" w:lineRule="auto"/>
              <w:ind w:left="114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524F75"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асчет осуществляется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</w:t>
            </w:r>
            <w:r w:rsidR="00F857B6"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да, если он не превышает 3 года и</w:t>
            </w:r>
            <w:r w:rsidR="00315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857B6" w:rsidRPr="00B5750F">
              <w:rPr>
                <w:rFonts w:ascii="Times New Roman" w:hAnsi="Times New Roman" w:cs="Times New Roman"/>
                <w:sz w:val="16"/>
                <w:szCs w:val="16"/>
              </w:rPr>
              <w:t>прогнозируемая</w:t>
            </w:r>
            <w:r w:rsidR="003154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57B6" w:rsidRPr="00B5750F">
              <w:rPr>
                <w:rFonts w:ascii="Times New Roman" w:hAnsi="Times New Roman" w:cs="Times New Roman"/>
                <w:sz w:val="16"/>
                <w:szCs w:val="16"/>
              </w:rPr>
              <w:t>в р</w:t>
            </w:r>
            <w:r w:rsidR="003154C0">
              <w:rPr>
                <w:rFonts w:ascii="Times New Roman" w:hAnsi="Times New Roman" w:cs="Times New Roman"/>
                <w:sz w:val="16"/>
                <w:szCs w:val="16"/>
              </w:rPr>
              <w:t xml:space="preserve">асчетном году сумма поступления задолженности, образовавшейся </w:t>
            </w:r>
            <w:r w:rsidR="00F857B6" w:rsidRPr="00B5750F">
              <w:rPr>
                <w:rFonts w:ascii="Times New Roman" w:hAnsi="Times New Roman" w:cs="Times New Roman"/>
                <w:sz w:val="16"/>
                <w:szCs w:val="16"/>
              </w:rPr>
              <w:t>до 1 января 2020 года</w:t>
            </w:r>
          </w:p>
        </w:tc>
        <w:tc>
          <w:tcPr>
            <w:tcW w:w="2268" w:type="dxa"/>
          </w:tcPr>
          <w:p w14:paraId="66A29A1C" w14:textId="334DAF2C" w:rsidR="00C16DA6" w:rsidRPr="00B5750F" w:rsidRDefault="00C16DA6" w:rsidP="003154C0">
            <w:pPr>
              <w:autoSpaceDE w:val="0"/>
              <w:autoSpaceDN w:val="0"/>
              <w:adjustRightInd w:val="0"/>
              <w:spacing w:after="0" w:line="240" w:lineRule="auto"/>
              <w:ind w:left="113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комп</w:t>
            </w:r>
            <w:proofErr w:type="spellEnd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(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val="en-US" w:eastAsia="ru-RU"/>
              </w:rPr>
              <w:t>y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) 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 прогнозный объем поступлений по доходам от компенсации затрат бюджетов городских округов в расчетном периоде;</w:t>
            </w:r>
          </w:p>
          <w:p w14:paraId="06FF0578" w14:textId="18D2C2E0" w:rsidR="00C16DA6" w:rsidRPr="00B5750F" w:rsidRDefault="00C16DA6" w:rsidP="003154C0">
            <w:pPr>
              <w:autoSpaceDE w:val="0"/>
              <w:autoSpaceDN w:val="0"/>
              <w:adjustRightInd w:val="0"/>
              <w:spacing w:after="0" w:line="240" w:lineRule="auto"/>
              <w:ind w:left="113"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комп</w:t>
            </w:r>
            <w:proofErr w:type="spellEnd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(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val="en-US" w:eastAsia="ru-RU"/>
              </w:rPr>
              <w:t>y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1), </w:t>
            </w:r>
            <w:proofErr w:type="spellStart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комп</w:t>
            </w:r>
            <w:proofErr w:type="spellEnd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(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val="en-US" w:eastAsia="ru-RU"/>
              </w:rPr>
              <w:t>y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2), </w:t>
            </w:r>
            <w:proofErr w:type="spellStart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комп</w:t>
            </w:r>
            <w:proofErr w:type="spellEnd"/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(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val="en-US" w:eastAsia="ru-RU"/>
              </w:rPr>
              <w:t>y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 xml:space="preserve">3) </w:t>
            </w:r>
            <w:r w:rsidRPr="00B57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 фактические (ожидаемые) суммы поступлений по доходам от компенсации затрат бюджетов городских округов за 3 года, предшествующих расчетному году, без учета поступлений по результатам контрольных мероприятий, судебных решений, а также платежей, носящих разовый характер.</w:t>
            </w:r>
          </w:p>
          <w:p w14:paraId="5624A5DE" w14:textId="1F07EE7C" w:rsidR="00563698" w:rsidRPr="00B5750F" w:rsidRDefault="00F857B6" w:rsidP="003154C0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BC069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ДЗ </w:t>
            </w:r>
            <w:r w:rsidR="003154C0">
              <w:rPr>
                <w:rFonts w:ascii="Times New Roman" w:hAnsi="Times New Roman" w:cs="Times New Roman"/>
                <w:sz w:val="16"/>
                <w:szCs w:val="16"/>
              </w:rPr>
              <w:t xml:space="preserve">ожидаемая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в расчетном году </w:t>
            </w:r>
            <w:r w:rsidR="003154C0">
              <w:rPr>
                <w:rFonts w:ascii="Times New Roman" w:hAnsi="Times New Roman" w:cs="Times New Roman"/>
                <w:sz w:val="16"/>
                <w:szCs w:val="16"/>
              </w:rPr>
              <w:t>сумма поступления задолженности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63698" w:rsidRPr="00B5750F" w14:paraId="680CACE0" w14:textId="77777777" w:rsidTr="003154C0">
        <w:tc>
          <w:tcPr>
            <w:tcW w:w="424" w:type="dxa"/>
          </w:tcPr>
          <w:p w14:paraId="20387115" w14:textId="3C9E28F3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3056FA56" w14:textId="0A71088F" w:rsidR="00563698" w:rsidRPr="00B5750F" w:rsidRDefault="00DE652D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1701" w:type="dxa"/>
          </w:tcPr>
          <w:p w14:paraId="13CE8891" w14:textId="78AB8A33" w:rsidR="00563698" w:rsidRPr="00B5750F" w:rsidRDefault="00DE652D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по культуре города Барнаула</w:t>
            </w:r>
          </w:p>
        </w:tc>
        <w:tc>
          <w:tcPr>
            <w:tcW w:w="1702" w:type="dxa"/>
          </w:tcPr>
          <w:p w14:paraId="7559D58D" w14:textId="77777777" w:rsidR="00563698" w:rsidRPr="00B5750F" w:rsidRDefault="00563698" w:rsidP="003154C0">
            <w:pPr>
              <w:spacing w:line="240" w:lineRule="auto"/>
              <w:ind w:right="-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11607010040007140</w:t>
            </w:r>
          </w:p>
        </w:tc>
        <w:tc>
          <w:tcPr>
            <w:tcW w:w="1984" w:type="dxa"/>
          </w:tcPr>
          <w:p w14:paraId="126268E1" w14:textId="6CE4AAA9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(подрядчи</w:t>
            </w:r>
            <w:bookmarkStart w:id="0" w:name="_GoBack"/>
            <w:bookmarkEnd w:id="0"/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 w:rsidR="00B5750F"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(за исключением муниципального контракта, финансируемого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за счет средств муниципального</w:t>
            </w:r>
          </w:p>
          <w:p w14:paraId="645E2D85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дорожного фонда)</w:t>
            </w:r>
          </w:p>
        </w:tc>
        <w:tc>
          <w:tcPr>
            <w:tcW w:w="1277" w:type="dxa"/>
          </w:tcPr>
          <w:p w14:paraId="0C05207C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Метод прямого расчета</w:t>
            </w:r>
          </w:p>
        </w:tc>
        <w:tc>
          <w:tcPr>
            <w:tcW w:w="1559" w:type="dxa"/>
          </w:tcPr>
          <w:p w14:paraId="3BBBEE5E" w14:textId="60BB20A0" w:rsidR="00563698" w:rsidRPr="00B5750F" w:rsidRDefault="00F857B6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ШМК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= 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ШМК</w:t>
            </w:r>
          </w:p>
        </w:tc>
        <w:tc>
          <w:tcPr>
            <w:tcW w:w="1985" w:type="dxa"/>
          </w:tcPr>
          <w:p w14:paraId="33B46444" w14:textId="140132E7" w:rsidR="00563698" w:rsidRPr="00B5750F" w:rsidRDefault="00F857B6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Поступление доходов имеет несистемный, нерегулярный характер, зависит от исполнени</w:t>
            </w:r>
            <w:r w:rsidR="003154C0">
              <w:rPr>
                <w:rFonts w:ascii="Times New Roman" w:hAnsi="Times New Roman" w:cs="Times New Roman"/>
                <w:sz w:val="16"/>
                <w:szCs w:val="16"/>
              </w:rPr>
              <w:t xml:space="preserve">я обязательств по </w:t>
            </w:r>
            <w:r w:rsidR="003154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муниципальным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контрактам, при расчете поступлений учитывается только </w:t>
            </w:r>
            <w:r w:rsidR="003154C0">
              <w:rPr>
                <w:rFonts w:ascii="Times New Roman" w:hAnsi="Times New Roman" w:cs="Times New Roman"/>
                <w:sz w:val="16"/>
                <w:szCs w:val="16"/>
              </w:rPr>
              <w:t>ожидаемая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поступления дебиторской задолженности по данному коду бюджетной классификации, взыскиваемая по исполнительным листам, мировым соглашениям (далее – задолженность по штрафам, неустойке, пени)</w:t>
            </w:r>
          </w:p>
        </w:tc>
        <w:tc>
          <w:tcPr>
            <w:tcW w:w="2268" w:type="dxa"/>
          </w:tcPr>
          <w:p w14:paraId="5564A200" w14:textId="77777777" w:rsidR="00F857B6" w:rsidRPr="00B5750F" w:rsidRDefault="00F857B6" w:rsidP="003154C0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ШМК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– прогнозный объем поступления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расчетном году доходов от взыскания штрафов, неустойки, пени за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просрочку исполнения обязательств по муниципальному контракту;</w:t>
            </w:r>
          </w:p>
          <w:p w14:paraId="3E33E609" w14:textId="6837CBD3" w:rsidR="00563698" w:rsidRPr="00B5750F" w:rsidRDefault="00F857B6" w:rsidP="003154C0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ШМК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3154C0">
              <w:rPr>
                <w:rFonts w:ascii="Times New Roman" w:hAnsi="Times New Roman" w:cs="Times New Roman"/>
                <w:sz w:val="16"/>
                <w:szCs w:val="16"/>
              </w:rPr>
              <w:t>ожидаемая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в расчетном году сумма поступления дебиторской задолженности по штрафам, неустойке, пени</w:t>
            </w:r>
          </w:p>
        </w:tc>
      </w:tr>
      <w:tr w:rsidR="00563698" w:rsidRPr="00B5750F" w14:paraId="4EFB5DF9" w14:textId="77777777" w:rsidTr="003154C0">
        <w:tc>
          <w:tcPr>
            <w:tcW w:w="424" w:type="dxa"/>
          </w:tcPr>
          <w:p w14:paraId="495103C3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134" w:type="dxa"/>
          </w:tcPr>
          <w:p w14:paraId="440A2961" w14:textId="48368B7C" w:rsidR="00563698" w:rsidRPr="00B5750F" w:rsidRDefault="00DE652D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1701" w:type="dxa"/>
          </w:tcPr>
          <w:p w14:paraId="54E24A66" w14:textId="1696A58F" w:rsidR="00563698" w:rsidRPr="00B5750F" w:rsidRDefault="00DE652D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по культуре города Барнаула</w:t>
            </w:r>
          </w:p>
        </w:tc>
        <w:tc>
          <w:tcPr>
            <w:tcW w:w="1702" w:type="dxa"/>
          </w:tcPr>
          <w:p w14:paraId="084D14EF" w14:textId="77777777" w:rsidR="00563698" w:rsidRPr="00B5750F" w:rsidRDefault="00563698" w:rsidP="003154C0">
            <w:pPr>
              <w:spacing w:line="240" w:lineRule="auto"/>
              <w:ind w:right="-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11607090040002140</w:t>
            </w:r>
          </w:p>
        </w:tc>
        <w:tc>
          <w:tcPr>
            <w:tcW w:w="1984" w:type="dxa"/>
          </w:tcPr>
          <w:p w14:paraId="1028BB31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Иные штрафы, неустойки, пени, уплаченные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в соответствии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с законом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или договором в случае неисполнения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или ненадлежащего исполнения обязательств перед муниципальным органом (муниципальным казенным учреждением) городского округа (поступления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от взыскания денежной компенсации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за неисполнение судебных актов)</w:t>
            </w:r>
          </w:p>
        </w:tc>
        <w:tc>
          <w:tcPr>
            <w:tcW w:w="1277" w:type="dxa"/>
          </w:tcPr>
          <w:p w14:paraId="05A1FA48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559" w:type="dxa"/>
          </w:tcPr>
          <w:p w14:paraId="320B4777" w14:textId="77777777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ШСА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= 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ШСА</w:t>
            </w:r>
          </w:p>
        </w:tc>
        <w:tc>
          <w:tcPr>
            <w:tcW w:w="1985" w:type="dxa"/>
          </w:tcPr>
          <w:p w14:paraId="75C1799E" w14:textId="71E84EEA" w:rsidR="00563698" w:rsidRPr="00B5750F" w:rsidRDefault="00563698" w:rsidP="009C5D3F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Поступление доходов имеет не</w:t>
            </w:r>
            <w:r w:rsidR="00B5750F"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системный, нерегулярный характер,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зависит от исполнения судебных актов, вынесенных по искам комитета, при расчете поступлений учитывается только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ожидаемая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поступления дебиторской задолженности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по данному коду бюджетной классификации, взыскиваемая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по исполнительным листам, мировым соглашениям (далее – задолженность по денежной компенсации за неисполнение судебных актов)</w:t>
            </w:r>
          </w:p>
        </w:tc>
        <w:tc>
          <w:tcPr>
            <w:tcW w:w="2268" w:type="dxa"/>
          </w:tcPr>
          <w:p w14:paraId="1A6396FD" w14:textId="77777777" w:rsidR="00563698" w:rsidRPr="00B5750F" w:rsidRDefault="00563698" w:rsidP="003154C0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ШСА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– прогнозный объем поступления в расчетном году доходов от взыскания денежной компенсации за неисполнение судебных актов;</w:t>
            </w:r>
          </w:p>
          <w:p w14:paraId="6EE12954" w14:textId="1543BABF" w:rsidR="00563698" w:rsidRPr="00B5750F" w:rsidRDefault="00563698" w:rsidP="009C5D3F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ШСА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ожидаемая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в расчетном году сумма поступления дебиторской задолженности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по денежной компенсации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за неисполнение судебных актов</w:t>
            </w:r>
          </w:p>
        </w:tc>
      </w:tr>
      <w:tr w:rsidR="00563698" w:rsidRPr="00B5750F" w14:paraId="7D0333FF" w14:textId="77777777" w:rsidTr="003154C0">
        <w:tc>
          <w:tcPr>
            <w:tcW w:w="424" w:type="dxa"/>
          </w:tcPr>
          <w:p w14:paraId="1C50E703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14:paraId="66BB117D" w14:textId="6EB53BC2" w:rsidR="00563698" w:rsidRPr="00B5750F" w:rsidRDefault="00DE652D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1701" w:type="dxa"/>
          </w:tcPr>
          <w:p w14:paraId="319AD97A" w14:textId="11FA19BE" w:rsidR="00563698" w:rsidRPr="00B5750F" w:rsidRDefault="00DE652D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по культуре города Барнаула</w:t>
            </w:r>
          </w:p>
        </w:tc>
        <w:tc>
          <w:tcPr>
            <w:tcW w:w="1702" w:type="dxa"/>
          </w:tcPr>
          <w:p w14:paraId="1C95FAD5" w14:textId="77777777" w:rsidR="00563698" w:rsidRPr="00B5750F" w:rsidRDefault="00563698" w:rsidP="003154C0">
            <w:pPr>
              <w:spacing w:line="240" w:lineRule="auto"/>
              <w:ind w:right="-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11607090040006140</w:t>
            </w:r>
          </w:p>
        </w:tc>
        <w:tc>
          <w:tcPr>
            <w:tcW w:w="1984" w:type="dxa"/>
          </w:tcPr>
          <w:p w14:paraId="40C48B3B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органом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277" w:type="dxa"/>
          </w:tcPr>
          <w:p w14:paraId="4F1E25B5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Метод прямого расчета</w:t>
            </w:r>
          </w:p>
        </w:tc>
        <w:tc>
          <w:tcPr>
            <w:tcW w:w="1559" w:type="dxa"/>
          </w:tcPr>
          <w:p w14:paraId="52997156" w14:textId="77777777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ИШ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= 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ИШ</w:t>
            </w:r>
          </w:p>
        </w:tc>
        <w:tc>
          <w:tcPr>
            <w:tcW w:w="1985" w:type="dxa"/>
          </w:tcPr>
          <w:p w14:paraId="639DCF40" w14:textId="02CC6194" w:rsidR="00563698" w:rsidRPr="00B5750F" w:rsidRDefault="00563698" w:rsidP="009C5D3F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доходов имеет несистемный и нерегулярный характер,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при расчете учитывается только ожидаемая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поступления дебиторской задолженности по данному коду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бюджетной классификации, взыскиваемая по исполнительным листам, мировым соглашениям (далее – дебиторская задолженность по иным поступлениям от денежных взысканий (штрафов), сумм в возмещение ущерба)</w:t>
            </w:r>
          </w:p>
        </w:tc>
        <w:tc>
          <w:tcPr>
            <w:tcW w:w="2268" w:type="dxa"/>
          </w:tcPr>
          <w:p w14:paraId="3824B061" w14:textId="77777777" w:rsidR="00563698" w:rsidRPr="00B5750F" w:rsidRDefault="00563698" w:rsidP="003154C0">
            <w:pPr>
              <w:pStyle w:val="ConsPlusNormal"/>
              <w:widowControl w:val="0"/>
              <w:ind w:left="113" w:right="114"/>
              <w:contextualSpacing/>
              <w:jc w:val="both"/>
              <w:rPr>
                <w:sz w:val="16"/>
                <w:szCs w:val="16"/>
              </w:rPr>
            </w:pPr>
            <w:r w:rsidRPr="00B5750F">
              <w:rPr>
                <w:sz w:val="16"/>
                <w:szCs w:val="16"/>
              </w:rPr>
              <w:lastRenderedPageBreak/>
              <w:t>Д</w:t>
            </w:r>
            <w:r w:rsidRPr="00B5750F">
              <w:rPr>
                <w:sz w:val="16"/>
                <w:szCs w:val="16"/>
                <w:vertAlign w:val="subscript"/>
              </w:rPr>
              <w:t>ИШ</w:t>
            </w:r>
            <w:r w:rsidRPr="00B5750F">
              <w:rPr>
                <w:sz w:val="16"/>
                <w:szCs w:val="16"/>
              </w:rPr>
              <w:t xml:space="preserve"> – прогнозный объем поступления в расчетном году доходов от иных поступлений от денежных взысканий (штрафов), сумм в возмещение ущерба;</w:t>
            </w:r>
          </w:p>
          <w:p w14:paraId="728F42D1" w14:textId="1B0EAD40" w:rsidR="00563698" w:rsidRPr="00B5750F" w:rsidRDefault="00563698" w:rsidP="009C5D3F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ИШ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ожидаемая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в расчетном году сумма поступления дебиторской задолженности по иным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поступлениям от денежных взысканий (штрафов), сумм в возмещение ущерба</w:t>
            </w:r>
          </w:p>
        </w:tc>
      </w:tr>
      <w:tr w:rsidR="00563698" w:rsidRPr="00B5750F" w14:paraId="44867A3D" w14:textId="77777777" w:rsidTr="003154C0">
        <w:tc>
          <w:tcPr>
            <w:tcW w:w="424" w:type="dxa"/>
          </w:tcPr>
          <w:p w14:paraId="7EEEC960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134" w:type="dxa"/>
          </w:tcPr>
          <w:p w14:paraId="29B05EF0" w14:textId="75E482BB" w:rsidR="00563698" w:rsidRPr="00B5750F" w:rsidRDefault="00DE652D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1701" w:type="dxa"/>
          </w:tcPr>
          <w:p w14:paraId="6E36E8CA" w14:textId="79DCE06D" w:rsidR="00563698" w:rsidRPr="00B5750F" w:rsidRDefault="00DE652D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по культуре города Барнаула</w:t>
            </w:r>
          </w:p>
        </w:tc>
        <w:tc>
          <w:tcPr>
            <w:tcW w:w="1702" w:type="dxa"/>
          </w:tcPr>
          <w:p w14:paraId="4B8D71C9" w14:textId="77777777" w:rsidR="00563698" w:rsidRPr="00B5750F" w:rsidRDefault="00563698" w:rsidP="003154C0">
            <w:pPr>
              <w:spacing w:line="240" w:lineRule="auto"/>
              <w:ind w:right="-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11610061040000140</w:t>
            </w:r>
          </w:p>
        </w:tc>
        <w:tc>
          <w:tcPr>
            <w:tcW w:w="1984" w:type="dxa"/>
          </w:tcPr>
          <w:p w14:paraId="0C531526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и муниципальных нужд (за исключением муниципального контракта, финансируемого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за счет средств муниципального дорожного фонда)</w:t>
            </w:r>
          </w:p>
        </w:tc>
        <w:tc>
          <w:tcPr>
            <w:tcW w:w="1277" w:type="dxa"/>
          </w:tcPr>
          <w:p w14:paraId="6A5F0035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559" w:type="dxa"/>
          </w:tcPr>
          <w:p w14:paraId="5997F44D" w14:textId="77777777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УБ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= 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УБ</w:t>
            </w:r>
          </w:p>
        </w:tc>
        <w:tc>
          <w:tcPr>
            <w:tcW w:w="1985" w:type="dxa"/>
          </w:tcPr>
          <w:p w14:paraId="35842243" w14:textId="69905BD3" w:rsidR="00563698" w:rsidRPr="00B5750F" w:rsidRDefault="00563698" w:rsidP="009C5D3F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доходов имеет несистемный и нерегулярный характер, при расчете учитывается только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ожидаемая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поступления дебиторской задолженности по данному коду бюджетной классификации, взыскиваемая по исполнительным листам, мировым соглашениям (далее – дебиторская задолженность по доходам от возмещения убытков, причиненных уклонением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от заключения муниципального контракта)</w:t>
            </w:r>
          </w:p>
        </w:tc>
        <w:tc>
          <w:tcPr>
            <w:tcW w:w="2268" w:type="dxa"/>
          </w:tcPr>
          <w:p w14:paraId="29233A96" w14:textId="77777777" w:rsidR="00563698" w:rsidRPr="00B5750F" w:rsidRDefault="00563698" w:rsidP="003154C0">
            <w:pPr>
              <w:pStyle w:val="ConsPlusNormal"/>
              <w:ind w:left="113" w:right="114"/>
              <w:contextualSpacing/>
              <w:jc w:val="both"/>
              <w:rPr>
                <w:sz w:val="16"/>
                <w:szCs w:val="16"/>
              </w:rPr>
            </w:pPr>
            <w:r w:rsidRPr="00B5750F">
              <w:rPr>
                <w:sz w:val="16"/>
                <w:szCs w:val="16"/>
              </w:rPr>
              <w:t>Д</w:t>
            </w:r>
            <w:r w:rsidRPr="00B5750F">
              <w:rPr>
                <w:sz w:val="16"/>
                <w:szCs w:val="16"/>
                <w:vertAlign w:val="subscript"/>
              </w:rPr>
              <w:t>УБ</w:t>
            </w:r>
            <w:r w:rsidRPr="00B5750F">
              <w:rPr>
                <w:sz w:val="16"/>
                <w:szCs w:val="16"/>
              </w:rPr>
              <w:t xml:space="preserve"> – прогнозный объем поступления в расчетном году доходов от возмещения убытков, причиненных уклонением от заключения муниципального контракта;</w:t>
            </w:r>
          </w:p>
          <w:p w14:paraId="478B4297" w14:textId="728051B2" w:rsidR="00563698" w:rsidRPr="00B5750F" w:rsidRDefault="00563698" w:rsidP="009C5D3F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УБ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ожидаемая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в расчетном году сумма поступления дебиторской задолженности по доходам от возмещения убытков, причиненных уклонением от заключения муниципального контракта</w:t>
            </w:r>
          </w:p>
        </w:tc>
      </w:tr>
      <w:tr w:rsidR="00563698" w:rsidRPr="00B5750F" w14:paraId="515FB519" w14:textId="77777777" w:rsidTr="003154C0">
        <w:tc>
          <w:tcPr>
            <w:tcW w:w="424" w:type="dxa"/>
          </w:tcPr>
          <w:p w14:paraId="760C58C3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134" w:type="dxa"/>
          </w:tcPr>
          <w:p w14:paraId="52B6328A" w14:textId="51303CAC" w:rsidR="00563698" w:rsidRPr="00B5750F" w:rsidRDefault="00DE652D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1701" w:type="dxa"/>
          </w:tcPr>
          <w:p w14:paraId="32BDC228" w14:textId="68AE6A1F" w:rsidR="00563698" w:rsidRPr="00B5750F" w:rsidRDefault="00DE652D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культуре города Барнаула </w:t>
            </w:r>
          </w:p>
        </w:tc>
        <w:tc>
          <w:tcPr>
            <w:tcW w:w="1702" w:type="dxa"/>
          </w:tcPr>
          <w:p w14:paraId="34CE5332" w14:textId="77777777" w:rsidR="00563698" w:rsidRPr="00B5750F" w:rsidRDefault="00563698" w:rsidP="003154C0">
            <w:pPr>
              <w:spacing w:line="240" w:lineRule="auto"/>
              <w:ind w:right="-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11610081040000140</w:t>
            </w:r>
          </w:p>
        </w:tc>
        <w:tc>
          <w:tcPr>
            <w:tcW w:w="1984" w:type="dxa"/>
          </w:tcPr>
          <w:p w14:paraId="6A5A76C2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7" w:type="dxa"/>
          </w:tcPr>
          <w:p w14:paraId="2B8AE943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Метод прямого расчета</w:t>
            </w:r>
          </w:p>
        </w:tc>
        <w:tc>
          <w:tcPr>
            <w:tcW w:w="1559" w:type="dxa"/>
          </w:tcPr>
          <w:p w14:paraId="0B2381B1" w14:textId="77777777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УЩ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= 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УЩ</w:t>
            </w:r>
          </w:p>
        </w:tc>
        <w:tc>
          <w:tcPr>
            <w:tcW w:w="1985" w:type="dxa"/>
          </w:tcPr>
          <w:p w14:paraId="6C330850" w14:textId="6CA3B74A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доходов имеет несистемный и нерегулярный характер, при расчете учитывается только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ожидаемая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поступления дебиторской задолженности</w:t>
            </w:r>
          </w:p>
          <w:p w14:paraId="7CD2DAEC" w14:textId="77777777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данному коду бюджетной классификации, взыскиваемая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по исполнительным листам, мировым соглашениям</w:t>
            </w:r>
          </w:p>
          <w:p w14:paraId="4025854C" w14:textId="77777777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(далее – дебиторская задолженность</w:t>
            </w:r>
          </w:p>
          <w:p w14:paraId="7A778E4C" w14:textId="77777777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по доходам от возмещения ущерба при расторжении муниципального контракта)</w:t>
            </w:r>
          </w:p>
        </w:tc>
        <w:tc>
          <w:tcPr>
            <w:tcW w:w="2268" w:type="dxa"/>
          </w:tcPr>
          <w:p w14:paraId="579AE3B5" w14:textId="77777777" w:rsidR="00563698" w:rsidRPr="00B5750F" w:rsidRDefault="00563698" w:rsidP="003154C0">
            <w:pPr>
              <w:pStyle w:val="ConsPlusNormal"/>
              <w:ind w:left="113" w:right="114"/>
              <w:contextualSpacing/>
              <w:jc w:val="both"/>
              <w:rPr>
                <w:sz w:val="16"/>
                <w:szCs w:val="16"/>
              </w:rPr>
            </w:pPr>
            <w:r w:rsidRPr="00B5750F">
              <w:rPr>
                <w:sz w:val="16"/>
                <w:szCs w:val="16"/>
              </w:rPr>
              <w:lastRenderedPageBreak/>
              <w:t>Д</w:t>
            </w:r>
            <w:r w:rsidRPr="00B5750F">
              <w:rPr>
                <w:sz w:val="16"/>
                <w:szCs w:val="16"/>
                <w:vertAlign w:val="subscript"/>
              </w:rPr>
              <w:t>УЩ</w:t>
            </w:r>
            <w:r w:rsidRPr="00B5750F">
              <w:rPr>
                <w:sz w:val="16"/>
                <w:szCs w:val="16"/>
              </w:rPr>
              <w:t xml:space="preserve"> – прогнозный объем поступления в расчетном году доходов от возмещения ущерба при расторжении муниципального контракта;</w:t>
            </w:r>
          </w:p>
          <w:p w14:paraId="67FD3B70" w14:textId="4E491895" w:rsidR="00563698" w:rsidRPr="00B5750F" w:rsidRDefault="00563698" w:rsidP="003154C0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УЩ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ожидаемая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в расчетном году сумма поступ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ления дебиторской задолженности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по доходам</w:t>
            </w:r>
          </w:p>
          <w:p w14:paraId="7F0A8365" w14:textId="01CC15DB" w:rsidR="00563698" w:rsidRPr="00B5750F" w:rsidRDefault="00563698" w:rsidP="009C5D3F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возмещения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от возмещения ущерба при расторжении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муниципального контракта</w:t>
            </w:r>
          </w:p>
        </w:tc>
      </w:tr>
      <w:tr w:rsidR="00563698" w:rsidRPr="00B5750F" w14:paraId="6DFDEE36" w14:textId="77777777" w:rsidTr="003154C0">
        <w:tc>
          <w:tcPr>
            <w:tcW w:w="424" w:type="dxa"/>
          </w:tcPr>
          <w:p w14:paraId="5FB36037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134" w:type="dxa"/>
          </w:tcPr>
          <w:p w14:paraId="7F7EF98A" w14:textId="3F296CFE" w:rsidR="00563698" w:rsidRPr="00B5750F" w:rsidRDefault="00DE652D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1701" w:type="dxa"/>
          </w:tcPr>
          <w:p w14:paraId="453821FD" w14:textId="194FFC61" w:rsidR="00563698" w:rsidRPr="00B5750F" w:rsidRDefault="00DE652D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по культуре города Барнаула</w:t>
            </w:r>
          </w:p>
        </w:tc>
        <w:tc>
          <w:tcPr>
            <w:tcW w:w="1702" w:type="dxa"/>
          </w:tcPr>
          <w:p w14:paraId="157CAE52" w14:textId="77777777" w:rsidR="00563698" w:rsidRPr="00B5750F" w:rsidRDefault="00563698" w:rsidP="003154C0">
            <w:pPr>
              <w:spacing w:line="240" w:lineRule="auto"/>
              <w:ind w:right="-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11610100040000140</w:t>
            </w:r>
          </w:p>
        </w:tc>
        <w:tc>
          <w:tcPr>
            <w:tcW w:w="1984" w:type="dxa"/>
          </w:tcPr>
          <w:p w14:paraId="6B38373C" w14:textId="15AD8D8D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 w:rsidR="00B5750F"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(в части бюджетов городских округов)</w:t>
            </w:r>
          </w:p>
        </w:tc>
        <w:tc>
          <w:tcPr>
            <w:tcW w:w="1277" w:type="dxa"/>
          </w:tcPr>
          <w:p w14:paraId="66ABE285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расчета;</w:t>
            </w:r>
          </w:p>
          <w:p w14:paraId="6B1DED8B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метод усреднения</w:t>
            </w:r>
          </w:p>
        </w:tc>
        <w:tc>
          <w:tcPr>
            <w:tcW w:w="1559" w:type="dxa"/>
          </w:tcPr>
          <w:p w14:paraId="762ED68B" w14:textId="7B6B0A19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НИ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граф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spellStart"/>
            <w:r w:rsidR="00B5750F"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ожид</w:t>
            </w:r>
            <w:proofErr w:type="spellEnd"/>
            <w:r w:rsidR="00B5750F"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.</w:t>
            </w:r>
          </w:p>
        </w:tc>
        <w:tc>
          <w:tcPr>
            <w:tcW w:w="1985" w:type="dxa"/>
          </w:tcPr>
          <w:p w14:paraId="7DE985CF" w14:textId="795E4F1B" w:rsidR="00563698" w:rsidRPr="00B5750F" w:rsidRDefault="00563698" w:rsidP="009C5D3F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Поступление доходов прогнозируется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с учетом графиков погашения дебиторской задолженности, предоставленных организациями</w:t>
            </w:r>
          </w:p>
        </w:tc>
        <w:tc>
          <w:tcPr>
            <w:tcW w:w="2268" w:type="dxa"/>
          </w:tcPr>
          <w:p w14:paraId="02BF4506" w14:textId="77777777" w:rsidR="00563698" w:rsidRPr="00B5750F" w:rsidRDefault="00563698" w:rsidP="003154C0">
            <w:pPr>
              <w:pStyle w:val="ConsPlusNormal"/>
              <w:ind w:left="113" w:right="114"/>
              <w:contextualSpacing/>
              <w:jc w:val="both"/>
              <w:rPr>
                <w:sz w:val="16"/>
                <w:szCs w:val="16"/>
              </w:rPr>
            </w:pPr>
            <w:r w:rsidRPr="00B5750F">
              <w:rPr>
                <w:sz w:val="16"/>
                <w:szCs w:val="16"/>
              </w:rPr>
              <w:t>Д</w:t>
            </w:r>
            <w:r w:rsidRPr="00B5750F">
              <w:rPr>
                <w:sz w:val="16"/>
                <w:szCs w:val="16"/>
                <w:vertAlign w:val="subscript"/>
              </w:rPr>
              <w:t xml:space="preserve">НИ </w:t>
            </w:r>
            <w:r w:rsidRPr="00B5750F">
              <w:rPr>
                <w:sz w:val="16"/>
                <w:szCs w:val="16"/>
              </w:rPr>
              <w:t>– прогнозный объем поступления в расчетном году доходов от денежных взысканий за незаконное или нецелевое использование бюджетных средств;</w:t>
            </w:r>
          </w:p>
          <w:p w14:paraId="7EC79D2A" w14:textId="77777777" w:rsidR="00563698" w:rsidRPr="00B5750F" w:rsidRDefault="00563698" w:rsidP="003154C0">
            <w:pPr>
              <w:pStyle w:val="ConsPlusNormal"/>
              <w:ind w:left="113" w:right="114"/>
              <w:contextualSpacing/>
              <w:jc w:val="both"/>
              <w:rPr>
                <w:sz w:val="16"/>
                <w:szCs w:val="16"/>
              </w:rPr>
            </w:pPr>
            <w:r w:rsidRPr="00B5750F">
              <w:rPr>
                <w:sz w:val="16"/>
                <w:szCs w:val="16"/>
                <w:lang w:val="en-US"/>
              </w:rPr>
              <w:t>S</w:t>
            </w:r>
            <w:r w:rsidRPr="00B5750F">
              <w:rPr>
                <w:sz w:val="16"/>
                <w:szCs w:val="16"/>
                <w:vertAlign w:val="subscript"/>
              </w:rPr>
              <w:t>граф</w:t>
            </w:r>
            <w:r w:rsidRPr="00B5750F">
              <w:rPr>
                <w:sz w:val="16"/>
                <w:szCs w:val="16"/>
              </w:rPr>
              <w:t xml:space="preserve"> – сумма погашения</w:t>
            </w:r>
            <w:r w:rsidRPr="00B5750F">
              <w:rPr>
                <w:sz w:val="16"/>
                <w:szCs w:val="16"/>
              </w:rPr>
              <w:br/>
              <w:t>в расчетном году дебиторской задолженности</w:t>
            </w:r>
          </w:p>
          <w:p w14:paraId="4AE557FC" w14:textId="77777777" w:rsidR="00563698" w:rsidRPr="00B5750F" w:rsidRDefault="00563698" w:rsidP="003154C0">
            <w:pPr>
              <w:pStyle w:val="ConsPlusNormal"/>
              <w:ind w:left="113" w:right="114"/>
              <w:contextualSpacing/>
              <w:jc w:val="both"/>
              <w:rPr>
                <w:sz w:val="16"/>
                <w:szCs w:val="16"/>
              </w:rPr>
            </w:pPr>
            <w:r w:rsidRPr="00B5750F">
              <w:rPr>
                <w:sz w:val="16"/>
                <w:szCs w:val="16"/>
              </w:rPr>
              <w:t>по денежным взысканиям</w:t>
            </w:r>
          </w:p>
          <w:p w14:paraId="5B6D358A" w14:textId="77777777" w:rsidR="00563698" w:rsidRPr="00B5750F" w:rsidRDefault="00563698" w:rsidP="003154C0">
            <w:pPr>
              <w:pStyle w:val="ConsPlusNormal"/>
              <w:ind w:left="113" w:right="114"/>
              <w:contextualSpacing/>
              <w:jc w:val="both"/>
              <w:rPr>
                <w:sz w:val="16"/>
                <w:szCs w:val="16"/>
              </w:rPr>
            </w:pPr>
            <w:r w:rsidRPr="00B5750F">
              <w:rPr>
                <w:sz w:val="16"/>
                <w:szCs w:val="16"/>
              </w:rPr>
              <w:t>за незаконное</w:t>
            </w:r>
            <w:r w:rsidRPr="00B5750F">
              <w:rPr>
                <w:sz w:val="16"/>
                <w:szCs w:val="16"/>
              </w:rPr>
              <w:br/>
              <w:t>или нецелевое использование бюджетных средств в соответствии с утвержденными графиками, предоставленными организациями (далее – графики);</w:t>
            </w:r>
          </w:p>
          <w:p w14:paraId="07ABC48E" w14:textId="77777777" w:rsidR="00563698" w:rsidRPr="00B5750F" w:rsidRDefault="00563698" w:rsidP="003154C0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spellStart"/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ожид</w:t>
            </w:r>
            <w:proofErr w:type="spellEnd"/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– прогнозируемая в расчетном периоде сумма поступлений доходов от денежных взысканий за незаконное</w:t>
            </w:r>
          </w:p>
          <w:p w14:paraId="63A031C2" w14:textId="77777777" w:rsidR="00563698" w:rsidRPr="00B5750F" w:rsidRDefault="00563698" w:rsidP="003154C0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или нецелевое использование бюджетных средств</w:t>
            </w:r>
          </w:p>
          <w:p w14:paraId="13A1C5D5" w14:textId="77777777" w:rsidR="00563698" w:rsidRPr="00B5750F" w:rsidRDefault="00563698" w:rsidP="003154C0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по результатам осуществления финансового контроля</w:t>
            </w:r>
          </w:p>
          <w:p w14:paraId="402F3480" w14:textId="77777777" w:rsidR="00563698" w:rsidRPr="00B5750F" w:rsidRDefault="00563698" w:rsidP="003154C0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с учетом статистических данных за 3 года, предшествующих текущему финансовому году, и изменений законодательства (без учета сумм погашения задолженности в соответствии с графиками)</w:t>
            </w:r>
          </w:p>
        </w:tc>
      </w:tr>
      <w:tr w:rsidR="00563698" w:rsidRPr="00B5750F" w14:paraId="14C4F9D4" w14:textId="77777777" w:rsidTr="003154C0">
        <w:tc>
          <w:tcPr>
            <w:tcW w:w="424" w:type="dxa"/>
          </w:tcPr>
          <w:p w14:paraId="41A8740B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1134" w:type="dxa"/>
          </w:tcPr>
          <w:p w14:paraId="7678AF85" w14:textId="487A5BA4" w:rsidR="00563698" w:rsidRPr="00B5750F" w:rsidRDefault="00DE652D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1701" w:type="dxa"/>
          </w:tcPr>
          <w:p w14:paraId="0EF2863E" w14:textId="73C4987F" w:rsidR="00563698" w:rsidRPr="00B5750F" w:rsidRDefault="00DE652D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по культуре города Барнаула</w:t>
            </w:r>
          </w:p>
        </w:tc>
        <w:tc>
          <w:tcPr>
            <w:tcW w:w="1702" w:type="dxa"/>
          </w:tcPr>
          <w:p w14:paraId="0914B4FF" w14:textId="77777777" w:rsidR="00563698" w:rsidRPr="00B5750F" w:rsidRDefault="00563698" w:rsidP="003154C0">
            <w:pPr>
              <w:spacing w:line="240" w:lineRule="auto"/>
              <w:ind w:right="-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11610123010041140</w:t>
            </w:r>
          </w:p>
        </w:tc>
        <w:tc>
          <w:tcPr>
            <w:tcW w:w="1984" w:type="dxa"/>
          </w:tcPr>
          <w:p w14:paraId="7A703E26" w14:textId="546F6029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до 1 января 2020 года, подлежащие зачислению в бюджет муниципального образования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по нормативам, действовавшим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в 2019 году (доходы бюджетов городских округов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за исключением доходов, направляемых на формирование муниципального дорожного фонда,</w:t>
            </w:r>
            <w:r w:rsidR="00B5750F"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а также иных платежей в случае принятия решения финансовым органом муниципального образования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о раздельном учете задолженности)</w:t>
            </w:r>
          </w:p>
        </w:tc>
        <w:tc>
          <w:tcPr>
            <w:tcW w:w="1277" w:type="dxa"/>
          </w:tcPr>
          <w:p w14:paraId="3F0D3BC1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559" w:type="dxa"/>
          </w:tcPr>
          <w:p w14:paraId="79BA3001" w14:textId="77777777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ДЗ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= 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ДЗ</w:t>
            </w:r>
          </w:p>
        </w:tc>
        <w:tc>
          <w:tcPr>
            <w:tcW w:w="1985" w:type="dxa"/>
          </w:tcPr>
          <w:p w14:paraId="6B9E370E" w14:textId="0CDBB5DA" w:rsidR="00563698" w:rsidRPr="00B5750F" w:rsidRDefault="00563698" w:rsidP="009C5D3F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доходов имеет несистемный и нерегулярный характер, при расчете учитывается только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ожидаемая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поступления дебиторской задолженности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по данному коду бюджетной классификации, взыскиваемая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по исполнительным листам, мировым соглашениям</w:t>
            </w:r>
          </w:p>
        </w:tc>
        <w:tc>
          <w:tcPr>
            <w:tcW w:w="2268" w:type="dxa"/>
          </w:tcPr>
          <w:p w14:paraId="2FB30F6B" w14:textId="1E2AB105" w:rsidR="00563698" w:rsidRPr="00B5750F" w:rsidRDefault="00563698" w:rsidP="003154C0">
            <w:pPr>
              <w:pStyle w:val="ConsPlusNormal"/>
              <w:ind w:left="113" w:right="114"/>
              <w:contextualSpacing/>
              <w:jc w:val="both"/>
              <w:rPr>
                <w:sz w:val="16"/>
                <w:szCs w:val="16"/>
              </w:rPr>
            </w:pPr>
            <w:r w:rsidRPr="00B5750F">
              <w:rPr>
                <w:sz w:val="16"/>
                <w:szCs w:val="16"/>
              </w:rPr>
              <w:t>Д</w:t>
            </w:r>
            <w:r w:rsidRPr="00B5750F">
              <w:rPr>
                <w:sz w:val="16"/>
                <w:szCs w:val="16"/>
                <w:vertAlign w:val="subscript"/>
              </w:rPr>
              <w:t>ДЗ</w:t>
            </w:r>
            <w:r w:rsidRPr="00B5750F">
              <w:rPr>
                <w:sz w:val="16"/>
                <w:szCs w:val="16"/>
              </w:rPr>
              <w:t xml:space="preserve"> – прогнозный объем поступления в расчетном году доходов</w:t>
            </w:r>
            <w:r w:rsidR="009C5D3F">
              <w:rPr>
                <w:sz w:val="16"/>
                <w:szCs w:val="16"/>
              </w:rPr>
              <w:t xml:space="preserve"> </w:t>
            </w:r>
            <w:r w:rsidRPr="00B5750F">
              <w:rPr>
                <w:sz w:val="16"/>
                <w:szCs w:val="16"/>
              </w:rPr>
              <w:t>от погашения задолженности,</w:t>
            </w:r>
            <w:r w:rsidR="009C5D3F">
              <w:rPr>
                <w:sz w:val="16"/>
                <w:szCs w:val="16"/>
              </w:rPr>
              <w:t xml:space="preserve"> </w:t>
            </w:r>
            <w:r w:rsidRPr="00B5750F">
              <w:rPr>
                <w:sz w:val="16"/>
                <w:szCs w:val="16"/>
              </w:rPr>
              <w:t>образовавшейся</w:t>
            </w:r>
            <w:r w:rsidR="009C5D3F">
              <w:rPr>
                <w:sz w:val="16"/>
                <w:szCs w:val="16"/>
              </w:rPr>
              <w:t xml:space="preserve"> </w:t>
            </w:r>
            <w:r w:rsidRPr="00B5750F">
              <w:rPr>
                <w:sz w:val="16"/>
                <w:szCs w:val="16"/>
              </w:rPr>
              <w:t>до 1 января 2020 года;</w:t>
            </w:r>
          </w:p>
          <w:p w14:paraId="0363551D" w14:textId="2B79A20B" w:rsidR="00563698" w:rsidRPr="00B5750F" w:rsidRDefault="00563698" w:rsidP="009C5D3F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5750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ДЗ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ожидаемая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в расчетном году сумма поступления задолженности, образовавшейся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до 1 января 2020 года</w:t>
            </w:r>
          </w:p>
        </w:tc>
      </w:tr>
      <w:tr w:rsidR="00563698" w:rsidRPr="00B5750F" w14:paraId="4660E921" w14:textId="77777777" w:rsidTr="003154C0">
        <w:tc>
          <w:tcPr>
            <w:tcW w:w="424" w:type="dxa"/>
          </w:tcPr>
          <w:p w14:paraId="63B0E7A5" w14:textId="77777777" w:rsidR="00563698" w:rsidRPr="00B5750F" w:rsidRDefault="0056369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134" w:type="dxa"/>
          </w:tcPr>
          <w:p w14:paraId="14B39689" w14:textId="2A90CA9C" w:rsidR="00563698" w:rsidRPr="00B5750F" w:rsidRDefault="00DE652D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1701" w:type="dxa"/>
          </w:tcPr>
          <w:p w14:paraId="48A2C755" w14:textId="28E4B6E7" w:rsidR="00563698" w:rsidRPr="00B5750F" w:rsidRDefault="00DE652D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по культуре города Барнаула</w:t>
            </w:r>
          </w:p>
        </w:tc>
        <w:tc>
          <w:tcPr>
            <w:tcW w:w="1702" w:type="dxa"/>
          </w:tcPr>
          <w:p w14:paraId="27C5DF3F" w14:textId="77777777" w:rsidR="00563698" w:rsidRPr="00B5750F" w:rsidRDefault="00563698" w:rsidP="003154C0">
            <w:pPr>
              <w:spacing w:line="240" w:lineRule="auto"/>
              <w:ind w:right="-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11701040040000180</w:t>
            </w:r>
          </w:p>
        </w:tc>
        <w:tc>
          <w:tcPr>
            <w:tcW w:w="1984" w:type="dxa"/>
          </w:tcPr>
          <w:p w14:paraId="6D1245C8" w14:textId="33F57E57" w:rsidR="00563698" w:rsidRPr="00B5750F" w:rsidRDefault="00563698" w:rsidP="009C5D3F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в бюджеты городских округов</w:t>
            </w:r>
          </w:p>
        </w:tc>
        <w:tc>
          <w:tcPr>
            <w:tcW w:w="1277" w:type="dxa"/>
          </w:tcPr>
          <w:p w14:paraId="710BF7F3" w14:textId="77777777" w:rsidR="00563698" w:rsidRPr="00B5750F" w:rsidRDefault="00563698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Иной расчет</w:t>
            </w:r>
          </w:p>
        </w:tc>
        <w:tc>
          <w:tcPr>
            <w:tcW w:w="1559" w:type="dxa"/>
          </w:tcPr>
          <w:p w14:paraId="73340D80" w14:textId="77777777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EF6DAD1" w14:textId="5791426F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Данный код дохода предусмотрен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для зачисления платежей, в которых неверно указаны</w:t>
            </w:r>
            <w:r w:rsidR="00B5750F"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(не указаны) реквизиты платежа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и которые подлежат уточнению по соответствующему коду дохода.</w:t>
            </w:r>
          </w:p>
          <w:p w14:paraId="4F354C61" w14:textId="77777777" w:rsidR="00563698" w:rsidRPr="00B5750F" w:rsidRDefault="0056369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На очередной финансовый год и на плановый период не прогнозируются, уточненный прогноз на текущий финансовый год формируется с учетом уточнения платежей за предыдущие отчетные периоды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C017E1" w14:textId="137649BB" w:rsidR="00563698" w:rsidRPr="00B5750F" w:rsidRDefault="00563698" w:rsidP="009C5D3F">
            <w:pPr>
              <w:spacing w:line="240" w:lineRule="auto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данных - бюджетная отчетность комитета по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культуре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города Барнаула</w:t>
            </w:r>
          </w:p>
        </w:tc>
      </w:tr>
      <w:tr w:rsidR="00C41428" w:rsidRPr="00B5750F" w14:paraId="3D66278F" w14:textId="77777777" w:rsidTr="003154C0">
        <w:trPr>
          <w:trHeight w:val="7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476A3961" w14:textId="2FA479C0" w:rsidR="00C41428" w:rsidRPr="00B5750F" w:rsidRDefault="00B750CC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41428" w:rsidRPr="00B575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2812AF" w14:textId="481843C8" w:rsidR="00C41428" w:rsidRPr="00B5750F" w:rsidRDefault="00C41428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619241" w14:textId="032C649F" w:rsidR="00C41428" w:rsidRPr="00B5750F" w:rsidRDefault="00C4142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по культуре города Барнаула</w:t>
            </w:r>
          </w:p>
        </w:tc>
        <w:tc>
          <w:tcPr>
            <w:tcW w:w="1702" w:type="dxa"/>
          </w:tcPr>
          <w:p w14:paraId="7F347072" w14:textId="40E8BDCB" w:rsidR="00C41428" w:rsidRPr="00B5750F" w:rsidRDefault="00C41428" w:rsidP="003154C0">
            <w:pPr>
              <w:spacing w:line="240" w:lineRule="auto"/>
              <w:ind w:right="-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20304099040000150</w:t>
            </w:r>
          </w:p>
        </w:tc>
        <w:tc>
          <w:tcPr>
            <w:tcW w:w="1984" w:type="dxa"/>
          </w:tcPr>
          <w:p w14:paraId="19CAC565" w14:textId="72187E00" w:rsidR="00C41428" w:rsidRPr="00B5750F" w:rsidRDefault="00B750CC" w:rsidP="003154C0">
            <w:pPr>
              <w:autoSpaceDE w:val="0"/>
              <w:autoSpaceDN w:val="0"/>
              <w:adjustRightInd w:val="0"/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государс</w:t>
            </w:r>
            <w:r w:rsidR="0016351E" w:rsidRPr="00B5750F">
              <w:rPr>
                <w:rFonts w:ascii="Times New Roman" w:hAnsi="Times New Roman" w:cs="Times New Roman"/>
                <w:sz w:val="16"/>
                <w:szCs w:val="16"/>
              </w:rPr>
              <w:t>твенных (муниципальных) организаций в бюджеты городских округов</w:t>
            </w:r>
          </w:p>
        </w:tc>
        <w:tc>
          <w:tcPr>
            <w:tcW w:w="1277" w:type="dxa"/>
          </w:tcPr>
          <w:p w14:paraId="13037076" w14:textId="5FEC2579" w:rsidR="00C41428" w:rsidRPr="00B5750F" w:rsidRDefault="008B053C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Иной расчет</w:t>
            </w:r>
          </w:p>
        </w:tc>
        <w:tc>
          <w:tcPr>
            <w:tcW w:w="1559" w:type="dxa"/>
          </w:tcPr>
          <w:p w14:paraId="05FE1E43" w14:textId="77777777" w:rsidR="00C41428" w:rsidRPr="00B5750F" w:rsidRDefault="00C41428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DB9715" w14:textId="6A74960E" w:rsidR="00C41428" w:rsidRPr="00B5750F" w:rsidRDefault="008B053C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имеет несистемный,</w:t>
            </w:r>
            <w:r w:rsidR="00B5750F"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 нерегулярный характер, с учетом непредсказуемости их образования прогнозируются на очередной финансовый год и на плановый период на нулевом уровне, уточненный прогноз на текущий финансовый год формируется на основании оценки поступлений с учетом фактического исполнения бюджета по доходам за истекшие месяцы текущего года</w:t>
            </w:r>
          </w:p>
        </w:tc>
        <w:tc>
          <w:tcPr>
            <w:tcW w:w="2268" w:type="dxa"/>
          </w:tcPr>
          <w:p w14:paraId="033FB096" w14:textId="1B2CE543" w:rsidR="00C41428" w:rsidRPr="00B5750F" w:rsidRDefault="008B053C" w:rsidP="009C5D3F">
            <w:pPr>
              <w:autoSpaceDE w:val="0"/>
              <w:autoSpaceDN w:val="0"/>
              <w:adjustRightInd w:val="0"/>
              <w:spacing w:line="240" w:lineRule="auto"/>
              <w:ind w:left="113" w:right="114"/>
              <w:contextualSpacing/>
              <w:jc w:val="both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данных - бюджетная отчетность комитета по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 xml:space="preserve">культуре 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города Барнаула</w:t>
            </w:r>
          </w:p>
        </w:tc>
      </w:tr>
      <w:tr w:rsidR="00B750CC" w:rsidRPr="00B5750F" w14:paraId="5B433056" w14:textId="77777777" w:rsidTr="003154C0">
        <w:trPr>
          <w:trHeight w:val="70"/>
        </w:trPr>
        <w:tc>
          <w:tcPr>
            <w:tcW w:w="424" w:type="dxa"/>
            <w:tcBorders>
              <w:top w:val="single" w:sz="4" w:space="0" w:color="auto"/>
            </w:tcBorders>
          </w:tcPr>
          <w:p w14:paraId="0C600EE9" w14:textId="3927E784" w:rsidR="00B750CC" w:rsidRPr="00B5750F" w:rsidRDefault="001E42BA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750CC" w:rsidRPr="00B575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28C14E" w14:textId="29D9FD66" w:rsidR="00B750CC" w:rsidRPr="00B5750F" w:rsidRDefault="00B750CC" w:rsidP="003154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8CC42D" w14:textId="2ADB0D2B" w:rsidR="00B750CC" w:rsidRPr="00B5750F" w:rsidRDefault="00B750CC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Комитет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br/>
              <w:t>по культуре города Барнаула</w:t>
            </w:r>
          </w:p>
        </w:tc>
        <w:tc>
          <w:tcPr>
            <w:tcW w:w="1702" w:type="dxa"/>
          </w:tcPr>
          <w:p w14:paraId="0D4EA8F9" w14:textId="3094FFAA" w:rsidR="00B750CC" w:rsidRPr="00B5750F" w:rsidRDefault="00B750CC" w:rsidP="003154C0">
            <w:pPr>
              <w:spacing w:line="240" w:lineRule="auto"/>
              <w:ind w:right="-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21804010040000150</w:t>
            </w:r>
          </w:p>
        </w:tc>
        <w:tc>
          <w:tcPr>
            <w:tcW w:w="1984" w:type="dxa"/>
          </w:tcPr>
          <w:p w14:paraId="1DB51BE5" w14:textId="5F20FCD0" w:rsidR="00B750CC" w:rsidRPr="00B5750F" w:rsidRDefault="00B750CC" w:rsidP="003154C0">
            <w:pPr>
              <w:autoSpaceDE w:val="0"/>
              <w:autoSpaceDN w:val="0"/>
              <w:adjustRightInd w:val="0"/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7" w:type="dxa"/>
          </w:tcPr>
          <w:p w14:paraId="47FBE5F3" w14:textId="0F8FB286" w:rsidR="00B750CC" w:rsidRPr="00B5750F" w:rsidRDefault="00B750CC" w:rsidP="003154C0">
            <w:pPr>
              <w:spacing w:line="240" w:lineRule="auto"/>
              <w:ind w:left="114" w:right="113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>Иной расчет</w:t>
            </w:r>
          </w:p>
        </w:tc>
        <w:tc>
          <w:tcPr>
            <w:tcW w:w="1559" w:type="dxa"/>
          </w:tcPr>
          <w:p w14:paraId="25B1793D" w14:textId="77777777" w:rsidR="00B750CC" w:rsidRPr="00B5750F" w:rsidRDefault="00B750CC" w:rsidP="003154C0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484EA76" w14:textId="64EBE03C" w:rsidR="00B750CC" w:rsidRPr="00B5750F" w:rsidRDefault="00B750CC" w:rsidP="009C5D3F">
            <w:pPr>
              <w:spacing w:line="240" w:lineRule="auto"/>
              <w:ind w:left="114" w:right="11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имеет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несистемный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нерегулярный характер, с учетом непредсказуемости их образования прогнозируются на очередной финансовый год и на плановый период на нулевом уровне, уточненный прогноз на текущий финансовый год формируется на основании оценки поступлений с учетом фактического исполнения бюджета по доходам за истекшие месяцы текущего года</w:t>
            </w:r>
          </w:p>
        </w:tc>
        <w:tc>
          <w:tcPr>
            <w:tcW w:w="2268" w:type="dxa"/>
          </w:tcPr>
          <w:p w14:paraId="1A23676B" w14:textId="2A9F44A6" w:rsidR="00B750CC" w:rsidRPr="00B5750F" w:rsidRDefault="00B750CC" w:rsidP="009C5D3F">
            <w:pPr>
              <w:autoSpaceDE w:val="0"/>
              <w:autoSpaceDN w:val="0"/>
              <w:adjustRightInd w:val="0"/>
              <w:spacing w:line="240" w:lineRule="auto"/>
              <w:ind w:left="113" w:right="114"/>
              <w:contextualSpacing/>
              <w:jc w:val="both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данных - бюджетная отчетность комитета по </w:t>
            </w:r>
            <w:r w:rsidR="009C5D3F">
              <w:rPr>
                <w:rFonts w:ascii="Times New Roman" w:hAnsi="Times New Roman" w:cs="Times New Roman"/>
                <w:sz w:val="16"/>
                <w:szCs w:val="16"/>
              </w:rPr>
              <w:t>культуре</w:t>
            </w:r>
            <w:r w:rsidRPr="00B5750F">
              <w:rPr>
                <w:rFonts w:ascii="Times New Roman" w:hAnsi="Times New Roman" w:cs="Times New Roman"/>
                <w:sz w:val="16"/>
                <w:szCs w:val="16"/>
              </w:rPr>
              <w:t xml:space="preserve"> города Барнаула</w:t>
            </w:r>
          </w:p>
        </w:tc>
      </w:tr>
    </w:tbl>
    <w:p w14:paraId="2AAFB0C7" w14:textId="77777777" w:rsidR="00563698" w:rsidRPr="00266BA0" w:rsidRDefault="00563698" w:rsidP="00A306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3698" w:rsidRPr="00266BA0" w:rsidSect="00A30655">
      <w:headerReference w:type="even" r:id="rId7"/>
      <w:headerReference w:type="default" r:id="rId8"/>
      <w:pgSz w:w="16834" w:h="11909" w:orient="landscape" w:code="9"/>
      <w:pgMar w:top="1134" w:right="851" w:bottom="993" w:left="1985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D105E" w14:textId="77777777" w:rsidR="00F46744" w:rsidRDefault="00F46744">
      <w:pPr>
        <w:spacing w:after="0" w:line="240" w:lineRule="auto"/>
      </w:pPr>
      <w:r>
        <w:separator/>
      </w:r>
    </w:p>
  </w:endnote>
  <w:endnote w:type="continuationSeparator" w:id="0">
    <w:p w14:paraId="5AF81BAA" w14:textId="77777777" w:rsidR="00F46744" w:rsidRDefault="00F4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93AB5" w14:textId="77777777" w:rsidR="00F46744" w:rsidRDefault="00F46744">
      <w:pPr>
        <w:spacing w:after="0" w:line="240" w:lineRule="auto"/>
      </w:pPr>
      <w:r>
        <w:separator/>
      </w:r>
    </w:p>
  </w:footnote>
  <w:footnote w:type="continuationSeparator" w:id="0">
    <w:p w14:paraId="59113263" w14:textId="77777777" w:rsidR="00F46744" w:rsidRDefault="00F4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D7D7D" w14:textId="77777777" w:rsidR="00563698" w:rsidRDefault="00563698">
    <w:pPr>
      <w:pStyle w:val="a4"/>
      <w:framePr w:wrap="around" w:vAnchor="text" w:hAnchor="margin" w:xAlign="right" w:y="1"/>
      <w:rPr>
        <w:rStyle w:val="a6"/>
      </w:rPr>
    </w:pPr>
  </w:p>
  <w:p w14:paraId="5363EAEB" w14:textId="77777777" w:rsidR="00563698" w:rsidRDefault="0056369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3B38104A" w14:textId="77777777" w:rsidR="00563698" w:rsidRDefault="00563698">
    <w:pPr>
      <w:pStyle w:val="a4"/>
      <w:ind w:right="360"/>
    </w:pPr>
  </w:p>
  <w:p w14:paraId="70D5B555" w14:textId="77777777" w:rsidR="00563698" w:rsidRDefault="0056369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93E6" w14:textId="77777777" w:rsidR="00563698" w:rsidRDefault="00563698">
    <w:pPr>
      <w:pStyle w:val="a4"/>
      <w:jc w:val="right"/>
    </w:pPr>
  </w:p>
  <w:p w14:paraId="181BA823" w14:textId="77777777" w:rsidR="00563698" w:rsidRDefault="00563698">
    <w:pPr>
      <w:pStyle w:val="a4"/>
      <w:jc w:val="right"/>
    </w:pPr>
  </w:p>
  <w:p w14:paraId="4D6622E6" w14:textId="3D16816F" w:rsidR="00563698" w:rsidRDefault="00563698" w:rsidP="00274075">
    <w:pPr>
      <w:pStyle w:val="a4"/>
      <w:jc w:val="right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1309B1">
      <w:rPr>
        <w:noProof/>
      </w:rPr>
      <w:t>6</w:t>
    </w:r>
    <w:r>
      <w:fldChar w:fldCharType="end"/>
    </w:r>
  </w:p>
  <w:p w14:paraId="600920DA" w14:textId="77777777" w:rsidR="00BD5730" w:rsidRPr="00BD5730" w:rsidRDefault="00BD5730" w:rsidP="00274075">
    <w:pPr>
      <w:pStyle w:val="a4"/>
      <w:contextualSpacing/>
      <w:jc w:val="right"/>
      <w:rPr>
        <w:sz w:val="2"/>
        <w:szCs w:val="2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4D"/>
    <w:rsid w:val="0004465A"/>
    <w:rsid w:val="000601C1"/>
    <w:rsid w:val="001309B1"/>
    <w:rsid w:val="0016351E"/>
    <w:rsid w:val="0017663B"/>
    <w:rsid w:val="001E42BA"/>
    <w:rsid w:val="00274075"/>
    <w:rsid w:val="002A5267"/>
    <w:rsid w:val="003154C0"/>
    <w:rsid w:val="003173D9"/>
    <w:rsid w:val="0039204D"/>
    <w:rsid w:val="003A5541"/>
    <w:rsid w:val="004A1D26"/>
    <w:rsid w:val="00524F75"/>
    <w:rsid w:val="00563698"/>
    <w:rsid w:val="005D0BF6"/>
    <w:rsid w:val="006C401F"/>
    <w:rsid w:val="00796423"/>
    <w:rsid w:val="00882809"/>
    <w:rsid w:val="008B053C"/>
    <w:rsid w:val="008E722A"/>
    <w:rsid w:val="009207D2"/>
    <w:rsid w:val="009C49AC"/>
    <w:rsid w:val="009C5D3F"/>
    <w:rsid w:val="009F0F8C"/>
    <w:rsid w:val="00A30655"/>
    <w:rsid w:val="00A50293"/>
    <w:rsid w:val="00B1094E"/>
    <w:rsid w:val="00B5750F"/>
    <w:rsid w:val="00B750CC"/>
    <w:rsid w:val="00BC069A"/>
    <w:rsid w:val="00BC52CA"/>
    <w:rsid w:val="00BD5730"/>
    <w:rsid w:val="00C036F7"/>
    <w:rsid w:val="00C16DA6"/>
    <w:rsid w:val="00C41428"/>
    <w:rsid w:val="00C736D8"/>
    <w:rsid w:val="00C94A70"/>
    <w:rsid w:val="00D335CE"/>
    <w:rsid w:val="00DC7141"/>
    <w:rsid w:val="00DE652D"/>
    <w:rsid w:val="00EA471F"/>
    <w:rsid w:val="00F46744"/>
    <w:rsid w:val="00F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04D35D"/>
  <w15:docId w15:val="{AB90E7F3-079C-4CF2-A3B5-2B3F90CD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36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636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semiHidden/>
    <w:rsid w:val="00563698"/>
  </w:style>
  <w:style w:type="paragraph" w:customStyle="1" w:styleId="ConsPlusNormal">
    <w:name w:val="ConsPlusNormal"/>
    <w:rsid w:val="00563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rsid w:val="005636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A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541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7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0D5F-96A2-46C2-A8C3-675EC873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Логоминова Лариса Николаевна</cp:lastModifiedBy>
  <cp:revision>7</cp:revision>
  <cp:lastPrinted>2022-07-18T01:31:00Z</cp:lastPrinted>
  <dcterms:created xsi:type="dcterms:W3CDTF">2022-06-08T07:39:00Z</dcterms:created>
  <dcterms:modified xsi:type="dcterms:W3CDTF">2022-07-18T01:37:00Z</dcterms:modified>
</cp:coreProperties>
</file>