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ind w:firstLine="5387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pStyle w:val="715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/>
    </w:p>
    <w:p>
      <w:pPr>
        <w:pStyle w:val="715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</w:t>
      </w:r>
      <w:r/>
    </w:p>
    <w:p>
      <w:pPr>
        <w:pStyle w:val="715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26.10.2023 </w:t>
      </w:r>
      <w:r>
        <w:rPr>
          <w:rFonts w:ascii="Times New Roman" w:hAnsi="Times New Roman" w:cs="Times New Roman"/>
          <w:sz w:val="28"/>
          <w:szCs w:val="28"/>
        </w:rPr>
        <w:t xml:space="preserve">№1570</w:t>
      </w:r>
      <w:r/>
    </w:p>
    <w:p>
      <w:pPr>
        <w:pStyle w:val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1"/>
        <w:ind w:firstLine="0"/>
        <w:jc w:val="center"/>
        <w:tabs>
          <w:tab w:val="left" w:pos="1560" w:leader="none"/>
        </w:tabs>
        <w:rPr>
          <w:szCs w:val="28"/>
        </w:rPr>
      </w:pPr>
      <w:r>
        <w:rPr>
          <w:szCs w:val="28"/>
        </w:rPr>
        <w:t xml:space="preserve">ПОЛОЖЕНИЕ</w:t>
      </w:r>
      <w:r/>
    </w:p>
    <w:p>
      <w:pPr>
        <w:jc w:val="center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</w:t>
      </w:r>
      <w:r/>
    </w:p>
    <w:p>
      <w:pPr>
        <w:ind w:firstLine="709"/>
        <w:jc w:val="center"/>
        <w:spacing w:after="0" w:line="240" w:lineRule="auto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5"/>
        <w:numPr>
          <w:ilvl w:val="0"/>
          <w:numId w:val="1"/>
        </w:numPr>
        <w:ind w:left="0" w:hanging="284"/>
        <w:jc w:val="center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</w:t>
      </w:r>
      <w:r/>
    </w:p>
    <w:p>
      <w:pPr>
        <w:pStyle w:val="715"/>
        <w:ind w:firstLine="709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5"/>
        <w:numPr>
          <w:ilvl w:val="0"/>
          <w:numId w:val="2"/>
        </w:numPr>
        <w:ind w:left="0" w:firstLine="709"/>
        <w:jc w:val="both"/>
        <w:widowControl/>
        <w:tabs>
          <w:tab w:val="clear" w:pos="360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комитете по развитию предпринимательства, потребительскому рынку и вопросам труда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определяет основные </w:t>
      </w:r>
      <w:r>
        <w:rPr>
          <w:rFonts w:ascii="Times New Roman" w:hAnsi="Times New Roman" w:cs="Times New Roman"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 xml:space="preserve">полномочия, права и обязанности комитета по развитию предпринимательства, потребительского рынка и вопросам труда администрации города Барнаула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Комитет).</w:t>
      </w:r>
      <w:r/>
    </w:p>
    <w:p>
      <w:pPr>
        <w:pStyle w:val="710"/>
        <w:ind w:left="0" w:firstLine="709"/>
        <w:jc w:val="both"/>
        <w:rPr>
          <w:szCs w:val="28"/>
        </w:rPr>
      </w:pPr>
      <w:r>
        <w:rPr>
          <w:szCs w:val="28"/>
        </w:rPr>
        <w:t xml:space="preserve">Ко</w:t>
      </w:r>
      <w:r>
        <w:rPr>
          <w:szCs w:val="28"/>
        </w:rPr>
        <w:t xml:space="preserve">митет</w:t>
      </w:r>
      <w:r>
        <w:rPr>
          <w:szCs w:val="28"/>
        </w:rPr>
        <w:t xml:space="preserve"> образован в соответствии с Федеральным законом </w:t>
      </w:r>
      <w:r>
        <w:rPr>
          <w:szCs w:val="28"/>
        </w:rPr>
        <w:br/>
      </w:r>
      <w:r>
        <w:rPr>
          <w:szCs w:val="28"/>
        </w:rPr>
        <w:t xml:space="preserve">от 06.10.2003</w:t>
      </w:r>
      <w:r>
        <w:rPr>
          <w:szCs w:val="28"/>
        </w:rPr>
        <w:t xml:space="preserve"> №131-ФЗ </w:t>
      </w:r>
      <w:r>
        <w:t xml:space="preserve">«Об общих принципах организации местного самоуправления в Российской Федерации», </w:t>
      </w:r>
      <w:r>
        <w:t xml:space="preserve">Уставом городского </w:t>
      </w:r>
      <w:r>
        <w:t xml:space="preserve">округа –</w:t>
      </w:r>
      <w:r>
        <w:t xml:space="preserve"> города</w:t>
      </w:r>
      <w:r>
        <w:rPr>
          <w:szCs w:val="28"/>
        </w:rPr>
        <w:t xml:space="preserve"> Барнаула Алтайского края, решением Барнаульской городской Думы, утверждающим структуру администрации города Барнаула.</w:t>
      </w:r>
      <w:r/>
    </w:p>
    <w:p>
      <w:pPr>
        <w:pStyle w:val="715"/>
        <w:numPr>
          <w:ilvl w:val="0"/>
          <w:numId w:val="2"/>
        </w:numPr>
        <w:ind w:left="0" w:firstLine="709"/>
        <w:jc w:val="both"/>
        <w:widowControl/>
        <w:tabs>
          <w:tab w:val="clear" w:pos="360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является отраслевым органом администрации города Барнаула (далее – администрация города),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которого относится </w:t>
      </w:r>
      <w:r>
        <w:rPr>
          <w:rFonts w:ascii="Times New Roman" w:hAnsi="Times New Roman" w:cs="Times New Roman"/>
          <w:sz w:val="28"/>
          <w:szCs w:val="28"/>
        </w:rPr>
        <w:t xml:space="preserve">реализаци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администрации города в </w:t>
      </w:r>
      <w:r>
        <w:rPr>
          <w:rFonts w:ascii="Times New Roman" w:hAnsi="Times New Roman" w:cs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3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развития и поддержки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торговой деятельности, социально-трудовых отношений.</w:t>
      </w:r>
      <w:r/>
    </w:p>
    <w:p>
      <w:pPr>
        <w:pStyle w:val="715"/>
        <w:ind w:firstLine="709"/>
        <w:jc w:val="both"/>
        <w:widowControl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имеет бланки с изображением герба города Ба</w:t>
      </w:r>
      <w:r>
        <w:rPr>
          <w:rFonts w:ascii="Times New Roman" w:hAnsi="Times New Roman" w:cs="Times New Roman"/>
          <w:sz w:val="28"/>
          <w:szCs w:val="28"/>
        </w:rPr>
        <w:t xml:space="preserve">рнаула и со своим 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numPr>
          <w:ilvl w:val="0"/>
          <w:numId w:val="2"/>
        </w:numPr>
        <w:ind w:left="0" w:firstLine="709"/>
        <w:jc w:val="both"/>
        <w:widowControl/>
        <w:tabs>
          <w:tab w:val="clear" w:pos="360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(Основным Законом) Алтайского края, законами и иными правовыми актами Алтайского края, 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и иными муниципальными правовыми актами 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Барнаула, в том числе Положением.</w:t>
      </w:r>
      <w:r/>
    </w:p>
    <w:p>
      <w:pPr>
        <w:pStyle w:val="715"/>
        <w:numPr>
          <w:ilvl w:val="0"/>
          <w:numId w:val="2"/>
        </w:numPr>
        <w:ind w:left="0" w:firstLine="709"/>
        <w:jc w:val="both"/>
        <w:widowControl/>
        <w:tabs>
          <w:tab w:val="clear" w:pos="36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во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федеральными органами исполнительной власти и их территориальными органами, правоохранительными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исполнительными органами государственной власти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городской Думой,</w:t>
      </w:r>
      <w:r>
        <w:rPr>
          <w:rFonts w:ascii="Times New Roman" w:hAnsi="Times New Roman" w:cs="Times New Roman"/>
          <w:sz w:val="28"/>
          <w:szCs w:val="28"/>
        </w:rPr>
        <w:t xml:space="preserve"> органами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и иными органами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а также с гражданами, их объединениями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 по вопросам, отнесенным к компетенции Комитета.</w:t>
      </w:r>
      <w:r/>
    </w:p>
    <w:p>
      <w:pPr>
        <w:pStyle w:val="733"/>
        <w:numPr>
          <w:ilvl w:val="0"/>
          <w:numId w:val="2"/>
        </w:numPr>
        <w:ind w:left="0" w:firstLine="709"/>
        <w:jc w:val="both"/>
        <w:spacing w:before="0" w:after="0"/>
        <w:tabs>
          <w:tab w:val="clear" w:pos="36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Подконтрольность и подчиненность Комитета главе города Барнаула, заместителю главы администрации города по экономической политике определяются в соответствии правовым актом главы города Барнаула.</w:t>
      </w:r>
      <w:r/>
    </w:p>
    <w:p>
      <w:pPr>
        <w:pStyle w:val="733"/>
        <w:numPr>
          <w:ilvl w:val="0"/>
          <w:numId w:val="2"/>
        </w:numPr>
        <w:ind w:left="0" w:firstLine="709"/>
        <w:jc w:val="both"/>
        <w:spacing w:before="0" w:after="0"/>
        <w:tabs>
          <w:tab w:val="clear" w:pos="36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предоставляет необходимую информацию по предмету своей деятельности заинтересованным лицам в порядке, установленном действующим законодательством Российской Федерации и Алтайского края, муниципальными правовыми актами города.</w:t>
      </w:r>
      <w:r/>
    </w:p>
    <w:p>
      <w:pPr>
        <w:pStyle w:val="715"/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6"/>
        <w:ind w:firstLine="709"/>
        <w:jc w:val="center"/>
        <w:tabs>
          <w:tab w:val="left" w:pos="1134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Основные задачи Комитета</w:t>
      </w:r>
      <w:r/>
    </w:p>
    <w:p>
      <w:pPr>
        <w:pStyle w:val="716"/>
        <w:ind w:firstLine="709"/>
        <w:jc w:val="center"/>
        <w:tabs>
          <w:tab w:val="left" w:pos="1134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6"/>
        <w:ind w:firstLine="709"/>
        <w:jc w:val="center"/>
        <w:tabs>
          <w:tab w:val="left" w:pos="1134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Деятельность Комитета направлена на решение следующих задач:</w:t>
      </w:r>
      <w:r/>
    </w:p>
    <w:p>
      <w:pPr>
        <w:pStyle w:val="715"/>
        <w:ind w:firstLine="709"/>
        <w:jc w:val="both"/>
        <w:widowControl/>
        <w:tabs>
          <w:tab w:val="left" w:pos="-4111" w:leader="none"/>
          <w:tab w:val="left" w:pos="1134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Style w:val="734"/>
          <w:rFonts w:ascii="Times New Roman" w:hAnsi="Times New Roman" w:cs="Times New Roman"/>
          <w:b w:val="0"/>
          <w:color w:val="000000"/>
          <w:sz w:val="28"/>
          <w:szCs w:val="28"/>
        </w:rPr>
        <w:t xml:space="preserve">2.1.</w:t>
      </w:r>
      <w:r>
        <w:rPr>
          <w:rStyle w:val="73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73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политики в области развития и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социально-трудовых</w:t>
      </w:r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Style w:val="734"/>
          <w:rFonts w:ascii="Times New Roman" w:hAnsi="Times New Roman" w:cs="Times New Roman"/>
          <w:b w:val="0"/>
          <w:color w:val="000000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widowControl/>
        <w:tabs>
          <w:tab w:val="left" w:pos="-4111" w:leader="none"/>
          <w:tab w:val="left" w:pos="1134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cs="Times New Roman"/>
          <w:sz w:val="28"/>
          <w:szCs w:val="28"/>
        </w:rPr>
        <w:t xml:space="preserve"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городе;</w:t>
      </w:r>
      <w:r/>
    </w:p>
    <w:p>
      <w:pPr>
        <w:pStyle w:val="715"/>
        <w:ind w:firstLine="709"/>
        <w:jc w:val="both"/>
        <w:tabs>
          <w:tab w:val="left" w:pos="-4111" w:leader="none"/>
          <w:tab w:val="left" w:pos="1134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Содействие развитию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многоформатной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высококонкурентной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инфраструктуры потребительского рынка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widowControl/>
        <w:tabs>
          <w:tab w:val="left" w:pos="-4111" w:leader="none"/>
          <w:tab w:val="left" w:pos="1134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 xml:space="preserve"> сбыта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сырья и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продовольствия, в том числе местных товаропроизводителей;</w:t>
      </w:r>
      <w:r/>
    </w:p>
    <w:p>
      <w:pPr>
        <w:pStyle w:val="715"/>
        <w:ind w:firstLine="709"/>
        <w:jc w:val="both"/>
        <w:widowControl/>
        <w:tabs>
          <w:tab w:val="left" w:pos="-4111" w:leader="none"/>
          <w:tab w:val="left" w:pos="1134" w:leader="none"/>
          <w:tab w:val="left" w:pos="1276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действиям при возникновении чрезвычайных ситуаций в мирное время, а также подготовка службы </w:t>
      </w:r>
      <w:r>
        <w:rPr>
          <w:rFonts w:ascii="Times New Roman" w:hAnsi="Times New Roman" w:cs="Times New Roman"/>
          <w:sz w:val="28"/>
          <w:szCs w:val="28"/>
        </w:rPr>
        <w:t xml:space="preserve">к действиям в условиях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военного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widowControl/>
        <w:tabs>
          <w:tab w:val="left" w:pos="-4111" w:leader="none"/>
          <w:tab w:val="left" w:pos="1134" w:leader="none"/>
          <w:tab w:val="left" w:pos="1560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системы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труд</w:t>
      </w:r>
      <w:r>
        <w:rPr>
          <w:rFonts w:ascii="Times New Roman" w:hAnsi="Times New Roman" w:cs="Times New Roman"/>
          <w:sz w:val="28"/>
          <w:szCs w:val="28"/>
        </w:rPr>
        <w:t xml:space="preserve">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33"/>
        <w:ind w:firstLine="709"/>
        <w:jc w:val="both"/>
        <w:spacing w:before="0" w:after="0"/>
        <w:tabs>
          <w:tab w:val="left" w:pos="-3969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6"/>
        <w:numPr>
          <w:ilvl w:val="0"/>
          <w:numId w:val="19"/>
        </w:numPr>
        <w:ind w:left="0" w:firstLine="709"/>
        <w:jc w:val="center"/>
        <w:tabs>
          <w:tab w:val="left" w:pos="1134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/>
    </w:p>
    <w:p>
      <w:pPr>
        <w:pStyle w:val="716"/>
        <w:ind w:firstLine="709"/>
        <w:tabs>
          <w:tab w:val="left" w:pos="1134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5"/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основных задач Комитет осуществляет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полномочия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733"/>
        <w:numPr>
          <w:ilvl w:val="1"/>
          <w:numId w:val="19"/>
        </w:numPr>
        <w:ind w:left="0" w:firstLine="709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 предпринимательским сообществом и привле</w:t>
      </w:r>
      <w:r>
        <w:rPr>
          <w:rFonts w:ascii="Times New Roman" w:hAnsi="Times New Roman" w:cs="Times New Roman"/>
          <w:sz w:val="28"/>
          <w:szCs w:val="28"/>
        </w:rPr>
        <w:t xml:space="preserve">кает</w:t>
      </w:r>
      <w:r>
        <w:rPr>
          <w:rFonts w:ascii="Times New Roman" w:hAnsi="Times New Roman" w:cs="Times New Roman"/>
          <w:sz w:val="28"/>
          <w:szCs w:val="28"/>
        </w:rPr>
        <w:t xml:space="preserve"> его к участию в социально-экономическом развитии города;</w:t>
      </w:r>
      <w:r/>
    </w:p>
    <w:p>
      <w:pPr>
        <w:pStyle w:val="733"/>
        <w:numPr>
          <w:ilvl w:val="1"/>
          <w:numId w:val="19"/>
        </w:numPr>
        <w:ind w:left="0" w:firstLine="709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потребительского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закона от 24.07.2007 №209-ФЗ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ую, информационную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консультационн</w:t>
      </w:r>
      <w:r>
        <w:rPr>
          <w:rFonts w:ascii="Times New Roman" w:hAnsi="Times New Roman" w:cs="Times New Roman"/>
          <w:sz w:val="28"/>
          <w:szCs w:val="28"/>
        </w:rPr>
        <w:t xml:space="preserve">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вопросов, касающихся компетенции отдела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туризм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</w:t>
      </w:r>
      <w:r>
        <w:rPr>
          <w:rFonts w:ascii="Times New Roman" w:hAnsi="Times New Roman" w:cs="Times New Roman"/>
          <w:sz w:val="28"/>
          <w:szCs w:val="28"/>
        </w:rPr>
        <w:t xml:space="preserve">ет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право использования герба города юридическими лицами и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коммерческих целях;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</w:t>
      </w:r>
      <w:r>
        <w:rPr>
          <w:rFonts w:ascii="Times New Roman" w:hAnsi="Times New Roman" w:cs="Times New Roman"/>
          <w:sz w:val="28"/>
          <w:szCs w:val="28"/>
        </w:rPr>
        <w:t xml:space="preserve">ует пров</w:t>
      </w:r>
      <w:r>
        <w:rPr>
          <w:rFonts w:ascii="Times New Roman" w:hAnsi="Times New Roman" w:cs="Times New Roman"/>
          <w:sz w:val="28"/>
          <w:szCs w:val="28"/>
        </w:rPr>
        <w:t xml:space="preserve">едение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предпринимателей города Барнаула;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МНПА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фактических результатов применения МНПА, затрагивающих вопросы осуществления предпринимательской и инвестиционной деятельности;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 xml:space="preserve">ует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форм поддержки субъектов малого</w:t>
      </w:r>
      <w:bookmarkStart w:id="1" w:name="sub_21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Осуществляет 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ониторинг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статистических,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финансовых, экономических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bookmarkEnd w:id="1"/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водит анализ</w:t>
      </w:r>
      <w:r>
        <w:rPr>
          <w:rFonts w:ascii="Times New Roman" w:hAnsi="Times New Roman" w:cs="Times New Roman"/>
          <w:sz w:val="28"/>
          <w:szCs w:val="28"/>
        </w:rPr>
        <w:t xml:space="preserve"> состояния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торговли, 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</w:t>
      </w:r>
      <w:r>
        <w:rPr>
          <w:rFonts w:ascii="Times New Roman" w:hAnsi="Times New Roman" w:cs="Times New Roman"/>
          <w:sz w:val="28"/>
          <w:szCs w:val="28"/>
        </w:rPr>
        <w:t xml:space="preserve">одит мониторинг ассортимента и </w:t>
      </w:r>
      <w:r>
        <w:rPr>
          <w:rFonts w:ascii="Times New Roman" w:hAnsi="Times New Roman" w:cs="Times New Roman"/>
          <w:sz w:val="28"/>
          <w:szCs w:val="28"/>
        </w:rPr>
        <w:t xml:space="preserve">цен продовольственных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непродовольственных товаров на оптовых предприятиях, розничных рынках и ярмарках города</w:t>
      </w:r>
      <w:r>
        <w:rPr>
          <w:rFonts w:ascii="Times New Roman" w:hAnsi="Times New Roman" w:cs="Times New Roman"/>
          <w:sz w:val="28"/>
          <w:szCs w:val="28"/>
        </w:rPr>
        <w:t xml:space="preserve">, в нестационарных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</w:t>
      </w:r>
      <w:r>
        <w:rPr>
          <w:rFonts w:ascii="Times New Roman" w:hAnsi="Times New Roman" w:cs="Times New Roman"/>
          <w:sz w:val="28"/>
          <w:szCs w:val="28"/>
        </w:rPr>
        <w:t xml:space="preserve">ирует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ориентированных предприятий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Определяет количество торговых мест на универс</w:t>
      </w:r>
      <w:r>
        <w:rPr>
          <w:rFonts w:ascii="Times New Roman" w:hAnsi="Times New Roman" w:cs="Times New Roman"/>
          <w:sz w:val="28"/>
          <w:szCs w:val="28"/>
        </w:rPr>
        <w:t xml:space="preserve">альных рынках города Барнаула для осуществления деятельности по продаже сельскохозяйственной продукции крестьянскими (фермерскими) хозяйствами, гражданами, ведущими личные подсобные хозяйства или занимающимися 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Координируе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т с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озда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ние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районов города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оборудованных бесплатных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реализации продукции гражданами, ведущими личное подсобное хозяйство, занимающихс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я садоводством, огородничеством;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Координирует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районов города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продовольственных ярмарок </w:t>
      </w:r>
      <w:r>
        <w:rPr>
          <w:rFonts w:ascii="Times New Roman" w:hAnsi="Times New Roman" w:cs="Times New Roman"/>
          <w:sz w:val="28"/>
          <w:szCs w:val="28"/>
        </w:rPr>
        <w:t xml:space="preserve">выходного дня;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Привлекает предприятия местных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специализированных продовольственных ярмарках выходного дня;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и методическое обеспечение деятельности специалистов администраций районов города, </w:t>
      </w:r>
      <w:r>
        <w:rPr>
          <w:rFonts w:ascii="Times New Roman" w:hAnsi="Times New Roman" w:cs="Times New Roman"/>
          <w:sz w:val="28"/>
          <w:szCs w:val="28"/>
        </w:rPr>
        <w:t xml:space="preserve">в полномочия которых входят</w:t>
      </w:r>
      <w:r>
        <w:rPr>
          <w:rFonts w:ascii="Times New Roman" w:hAnsi="Times New Roman" w:cs="Times New Roman"/>
          <w:sz w:val="28"/>
          <w:szCs w:val="28"/>
        </w:rPr>
        <w:t xml:space="preserve"> вопросы потребительского рынка;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 полномочия по определению границ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отдельным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Предоставляет субъектам сферы </w:t>
      </w:r>
      <w:r>
        <w:rPr>
          <w:rFonts w:ascii="Times New Roman" w:hAnsi="Times New Roman" w:cs="Times New Roman"/>
          <w:sz w:val="28"/>
          <w:szCs w:val="28"/>
        </w:rPr>
        <w:t xml:space="preserve">торговли,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ям</w:t>
      </w:r>
      <w:r>
        <w:rPr>
          <w:rFonts w:ascii="Times New Roman" w:hAnsi="Times New Roman" w:cs="Times New Roman"/>
          <w:sz w:val="28"/>
          <w:szCs w:val="28"/>
        </w:rPr>
        <w:t xml:space="preserve">, личны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подсобны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и крестьянско-фермерски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 xml:space="preserve">ам, садоводческим некоммерческим 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и консультационную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компетенции К</w:t>
      </w:r>
      <w:r>
        <w:rPr>
          <w:rFonts w:ascii="Times New Roman" w:hAnsi="Times New Roman" w:cs="Times New Roman"/>
          <w:sz w:val="28"/>
          <w:szCs w:val="28"/>
        </w:rPr>
        <w:t xml:space="preserve">омитета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вляется уполномоченным органом по вопросу размещения нестационарных торговых объектов на территории города, в том числе разработке, утверждению и внесению изменений в Схему размещения нестационарных торговых объектов 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Барнаула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33"/>
        <w:numPr>
          <w:ilvl w:val="1"/>
          <w:numId w:val="19"/>
        </w:numPr>
        <w:ind w:left="0" w:firstLine="567"/>
        <w:jc w:val="both"/>
        <w:spacing w:before="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информационную работу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потенциала и 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высококвалифицированных рабочих мест;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Оказывает методическую помощь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хозяйствующим субъектам реального сектора экономики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решении вопросов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повышению заработной платы и ликвидации задолженности по заработной плате перед работниками организаций города;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содействие </w:t>
      </w:r>
      <w:r>
        <w:rPr>
          <w:rFonts w:ascii="Times New Roman" w:hAnsi="Times New Roman" w:cs="Times New Roman"/>
          <w:sz w:val="28"/>
          <w:szCs w:val="28"/>
        </w:rPr>
        <w:t xml:space="preserve">иным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выполняющим функции учредителя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 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предприятиях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урегулированию социально-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города;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 xml:space="preserve">нижение дефицита кадров и повышение престижности рабочих профессий;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</w:t>
      </w:r>
      <w:r>
        <w:rPr>
          <w:rFonts w:ascii="Times New Roman" w:hAnsi="Times New Roman" w:cs="Times New Roman"/>
          <w:sz w:val="28"/>
          <w:szCs w:val="28"/>
        </w:rPr>
        <w:t xml:space="preserve"> городские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рынка, обрабатывающей и пищевой, перерабатывающей промышленностях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расследовании несчастных случаев на производстве;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обобщению и распространению опыта эффективной работы по охране труда в организациях города, оказывает консультационную </w:t>
      </w:r>
      <w:r>
        <w:rPr>
          <w:rFonts w:ascii="Times New Roman" w:hAnsi="Times New Roman" w:cs="Times New Roman"/>
          <w:sz w:val="28"/>
          <w:szCs w:val="28"/>
        </w:rPr>
        <w:t xml:space="preserve">поддержку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охраны труда работодателям города, в том числе иным органам местного самоуправления;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системы управления охраной труда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50"/>
        <w:numPr>
          <w:ilvl w:val="1"/>
          <w:numId w:val="19"/>
        </w:numPr>
        <w:ind w:left="0" w:firstLine="567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</w:t>
      </w:r>
      <w:r>
        <w:rPr>
          <w:sz w:val="28"/>
          <w:szCs w:val="28"/>
        </w:rPr>
        <w:t xml:space="preserve">одит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по гражданской обороне, профилактике </w:t>
      </w:r>
      <w:r>
        <w:rPr>
          <w:sz w:val="28"/>
          <w:szCs w:val="28"/>
        </w:rPr>
        <w:t xml:space="preserve">терроризма, созданию резервов материальных ресурсов для ликвидации чрезвычайных ситуаций;</w:t>
      </w:r>
      <w:r/>
    </w:p>
    <w:p>
      <w:pPr>
        <w:pStyle w:val="750"/>
        <w:numPr>
          <w:ilvl w:val="1"/>
          <w:numId w:val="19"/>
        </w:numPr>
        <w:ind w:left="0" w:firstLine="567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и организацию нормированного снабжения населения продовольственными и непродовольственными товарами в период мобилизации и в в</w:t>
      </w:r>
      <w:r>
        <w:rPr>
          <w:sz w:val="28"/>
          <w:szCs w:val="28"/>
        </w:rPr>
        <w:t xml:space="preserve">оенное время;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</w:t>
      </w:r>
      <w:r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службы торговли и питания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действиям при возникновении чрезвычайных ситуаций в мирное время,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подготовк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службы к действиям в условиях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сбор, обобщение и учет информации о реализации на торговых объектах, расположенных в городе </w:t>
      </w:r>
      <w:r>
        <w:rPr>
          <w:rFonts w:ascii="Times New Roman" w:hAnsi="Times New Roman" w:cs="Times New Roman"/>
          <w:sz w:val="28"/>
          <w:szCs w:val="28"/>
        </w:rPr>
        <w:t xml:space="preserve">Барнауле</w:t>
      </w:r>
      <w:r>
        <w:rPr>
          <w:rFonts w:ascii="Times New Roman" w:hAnsi="Times New Roman" w:cs="Times New Roman"/>
          <w:sz w:val="28"/>
          <w:szCs w:val="28"/>
        </w:rPr>
        <w:t xml:space="preserve"> (независимо от их 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формы), требований ан</w:t>
      </w:r>
      <w:r>
        <w:rPr>
          <w:rFonts w:ascii="Times New Roman" w:hAnsi="Times New Roman" w:cs="Times New Roman"/>
          <w:sz w:val="28"/>
          <w:szCs w:val="28"/>
        </w:rPr>
        <w:t xml:space="preserve">титеррористической защищенности;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134" w:leader="none"/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</w:t>
      </w:r>
      <w:r>
        <w:rPr>
          <w:rFonts w:ascii="Times New Roman" w:hAnsi="Times New Roman" w:cs="Times New Roman"/>
          <w:sz w:val="28"/>
          <w:szCs w:val="28"/>
        </w:rPr>
        <w:t xml:space="preserve">одготовк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вопросам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потребительского рынка и </w:t>
      </w:r>
      <w:r>
        <w:rPr>
          <w:rFonts w:ascii="Times New Roman" w:hAnsi="Times New Roman" w:cs="Times New Roman"/>
          <w:sz w:val="28"/>
          <w:szCs w:val="28"/>
        </w:rPr>
        <w:t xml:space="preserve">труда;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оордин</w:t>
      </w:r>
      <w:r>
        <w:rPr>
          <w:rFonts w:ascii="Times New Roman" w:hAnsi="Times New Roman" w:cs="Times New Roman"/>
          <w:sz w:val="28"/>
          <w:szCs w:val="28"/>
        </w:rPr>
        <w:t xml:space="preserve">ирует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районов города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достижению целевых показателей социально-экономического развития Алтайского края и мониторинг выполнения задач, обозначенных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Послании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1"/>
          <w:numId w:val="19"/>
        </w:numPr>
        <w:ind w:left="0" w:firstLine="567"/>
        <w:jc w:val="both"/>
        <w:widowControl/>
        <w:tabs>
          <w:tab w:val="left" w:pos="1276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>
        <w:rPr>
          <w:rFonts w:ascii="Times New Roman" w:hAnsi="Times New Roman" w:cs="Times New Roman"/>
          <w:sz w:val="28"/>
          <w:szCs w:val="28"/>
        </w:rPr>
        <w:t xml:space="preserve">полномочия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города.</w:t>
      </w:r>
      <w:r/>
    </w:p>
    <w:p>
      <w:pPr>
        <w:pStyle w:val="716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6"/>
        <w:numPr>
          <w:ilvl w:val="0"/>
          <w:numId w:val="19"/>
        </w:numPr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обязанности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/>
    </w:p>
    <w:p>
      <w:pPr>
        <w:pStyle w:val="716"/>
        <w:ind w:left="450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30"/>
        <w:numPr>
          <w:ilvl w:val="1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возложенных задач,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Комитет имеет право: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компетенции, определенной Положением, в органах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организациях всех форм собственности;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руководителей органов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ведомственной подчиненности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деятельности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совещания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выставочно-ярмарочные мероприятия, конференции, семинары</w:t>
      </w:r>
      <w:r>
        <w:rPr>
          <w:rFonts w:ascii="Times New Roman" w:hAnsi="Times New Roman" w:cs="Times New Roman"/>
          <w:sz w:val="28"/>
          <w:szCs w:val="28"/>
        </w:rPr>
        <w:t xml:space="preserve">, конкурсы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входящим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компетенцию Комитета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иных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местного самоуправления,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вопросов, относящихся к компетенции отдела по развитию туризма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главе города Барнаула, заместителю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привлекать </w:t>
      </w: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города Барнаула, иные органы местного самоуправления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Комитет задач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опуляриз</w:t>
      </w:r>
      <w:r>
        <w:rPr>
          <w:rFonts w:ascii="Times New Roman" w:hAnsi="Times New Roman" w:cs="Times New Roman"/>
          <w:sz w:val="28"/>
          <w:szCs w:val="28"/>
        </w:rPr>
        <w:t xml:space="preserve">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федеральными, краевыми, городскими средствами массовой информации;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азмещ</w:t>
      </w:r>
      <w:r>
        <w:rPr>
          <w:rFonts w:ascii="Times New Roman" w:hAnsi="Times New Roman" w:cs="Times New Roman"/>
          <w:sz w:val="28"/>
          <w:szCs w:val="28"/>
        </w:rPr>
        <w:t xml:space="preserve">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о проводимых Комитетом мероприятиях и конкурс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ах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, мерах поддержки для субъектов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 xml:space="preserve">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Интернет-сайте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аккаунт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</w:t>
      </w:r>
      <w:r>
        <w:rPr>
          <w:rFonts w:ascii="Times New Roman" w:hAnsi="Times New Roman" w:cs="Times New Roman"/>
          <w:sz w:val="28"/>
          <w:szCs w:val="28"/>
        </w:rPr>
        <w:t xml:space="preserve">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Вконтакте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(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https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://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vk.com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pred_brn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мессенджер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(</w:t>
      </w:r>
      <w:hyperlink r:id="rId11" w:tooltip="https://t.me/pred_brn" w:history="1">
        <w:r>
          <w:rPr>
            <w:rFonts w:ascii="Times New Roman" w:hAnsi="Times New Roman" w:eastAsia="Arial Unicode MS" w:cs="Times New Roman"/>
            <w:bCs/>
            <w:sz w:val="28"/>
            <w:szCs w:val="28"/>
            <w:lang w:val="en-US" w:eastAsia="ar-SA"/>
          </w:rPr>
          <w:t xml:space="preserve">https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eastAsia="ar-SA"/>
          </w:rPr>
          <w:t xml:space="preserve">://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val="en-US" w:eastAsia="ar-SA"/>
          </w:rPr>
          <w:t xml:space="preserve">t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eastAsia="ar-SA"/>
          </w:rPr>
          <w:t xml:space="preserve">.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val="en-US" w:eastAsia="ar-SA"/>
          </w:rPr>
          <w:t xml:space="preserve">me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eastAsia="ar-SA"/>
          </w:rPr>
          <w:t xml:space="preserve">/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val="en-US" w:eastAsia="ar-SA"/>
          </w:rPr>
          <w:t xml:space="preserve">pred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eastAsia="ar-SA"/>
          </w:rPr>
          <w:t xml:space="preserve">_</w:t>
        </w:r>
        <w:r>
          <w:rPr>
            <w:rFonts w:ascii="Times New Roman" w:hAnsi="Times New Roman" w:eastAsia="Arial Unicode MS" w:cs="Times New Roman"/>
            <w:bCs/>
            <w:sz w:val="28"/>
            <w:szCs w:val="28"/>
            <w:lang w:val="en-US" w:eastAsia="ar-SA"/>
          </w:rPr>
          <w:t xml:space="preserve">brn</w:t>
        </w:r>
      </w:hyperlink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</w:t>
      </w:r>
      <w:r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города.</w:t>
      </w:r>
      <w:r/>
    </w:p>
    <w:p>
      <w:pPr>
        <w:pStyle w:val="730"/>
        <w:numPr>
          <w:ilvl w:val="1"/>
          <w:numId w:val="19"/>
        </w:numPr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при осуществлении своей деятельности обязан: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законодательства Российской Федерации, Алтайского края, муниципальных правовых актов города,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Положения;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заместителю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  <w:r>
        <w:rPr>
          <w:rFonts w:ascii="Times New Roman" w:hAnsi="Times New Roman" w:cs="Times New Roman"/>
          <w:sz w:val="28"/>
          <w:szCs w:val="28"/>
        </w:rPr>
        <w:t xml:space="preserve">отчеты о своей деятельности;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информировать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экономической политике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и своевременно рассматривать поступивши</w:t>
      </w:r>
      <w:r>
        <w:rPr>
          <w:rFonts w:ascii="Times New Roman" w:hAnsi="Times New Roman" w:cs="Times New Roman"/>
          <w:sz w:val="28"/>
          <w:szCs w:val="28"/>
        </w:rPr>
        <w:t xml:space="preserve">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Алтайского края, муниципальными правовыми актами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доступ к информации о деятельности Комитета с учетом требований Федерального закона от 09.02.2009 №8-ФЗ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администрации города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информацию для разработки прогноза социально-экономического развития города Барнаула на среднесрочный и долгосрочный периоды;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разработке,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мониторинге документов стратегического планирования города Барнаула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контроле за </w:t>
      </w:r>
      <w:r>
        <w:rPr>
          <w:rFonts w:ascii="Times New Roman" w:hAnsi="Times New Roman" w:cs="Times New Roman"/>
          <w:sz w:val="28"/>
          <w:szCs w:val="28"/>
        </w:rPr>
        <w:t xml:space="preserve">их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корректировки, осуществления мониторинга и контроля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социально-экономического развития города Барнаула,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разработку, корректировку, мониторинг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и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в соответствии с порядком разработки, реализации и оценки эффективности муниципальных программ, утвержденным постановлением администрации города; 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развитие города Барнаула по вопросам деятельности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Алтайского края, муниципальным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и актуальност</w:t>
      </w:r>
      <w:r>
        <w:rPr>
          <w:rFonts w:ascii="Times New Roman" w:hAnsi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, разработчиком которых является Комитет,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составах коллегиальных, координационных, совещательных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 организационно-техническое обеспечение деятельности которых осуществляет Комитет;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соответствии с муниципальными правовыми актами города в мероприятиях по противодействию коррупции, осуществляемых администрацией города, в рамках компетенции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проекты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мероприятиях, проводимых органами местного самоуправления, заседаниях коллегиальных, совещательных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координационных органов местного самоуправления при обсуждении вопросов, относящихся к деятельности Комитета;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документацию по осуществлению закупок товаров, работ, услуг для обеспечения муниципальных нужд администрации города в сфере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Принимать непосредственное участие в реализации заключенных муниципальных контрактов (договоров);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разработку, корректировку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проводить мониторинг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t xml:space="preserve">Выдача разрешения на право использования герба города Барнаула юридическими лицами </w:t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t xml:space="preserve">и индивидуальными предпринимателями в коммерческих целях»</w:t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«Выдача согласования </w:t>
      </w:r>
      <w:r>
        <w:rPr>
          <w:rStyle w:val="736"/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Style w:val="736"/>
          <w:rFonts w:ascii="Times New Roman" w:hAnsi="Times New Roman" w:cs="Times New Roman"/>
          <w:sz w:val="28"/>
          <w:szCs w:val="28"/>
        </w:rPr>
        <w:t xml:space="preserve">проведении ярмарки</w:t>
      </w:r>
      <w:r>
        <w:rPr>
          <w:rFonts w:ascii="Times New Roman" w:hAnsi="Times New Roman" w:cs="Times New Roman"/>
          <w:sz w:val="28"/>
          <w:szCs w:val="28"/>
        </w:rPr>
        <w:t xml:space="preserve">», «Выдача разрешения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Федеральн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ого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закон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а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№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210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-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ФЗ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«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Об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организации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предоставления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государственных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муниципальных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1"/>
          <w:rFonts w:ascii="Times New Roman" w:hAnsi="Times New Roman" w:cs="Times New Roman"/>
          <w:bCs/>
          <w:sz w:val="28"/>
          <w:szCs w:val="28"/>
        </w:rPr>
        <w:t xml:space="preserve">услуг</w:t>
      </w:r>
      <w:r>
        <w:rPr>
          <w:rStyle w:val="751"/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9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иные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действующим законодательством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иными правовыми актами Алтайского края, муниципальными правовыми актами города.</w:t>
      </w:r>
      <w:r/>
    </w:p>
    <w:p>
      <w:pPr>
        <w:pStyle w:val="716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6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Организация деятельности Комитета</w:t>
      </w:r>
      <w:r/>
    </w:p>
    <w:p>
      <w:pPr>
        <w:pStyle w:val="7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 В структуру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входят: 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.1.1.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 xml:space="preserve">Два з</w:t>
      </w:r>
      <w:r>
        <w:rPr>
          <w:rFonts w:ascii="Times New Roman" w:hAnsi="Times New Roman" w:cs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-  начальники 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во</w:t>
      </w:r>
      <w:r>
        <w:rPr>
          <w:rFonts w:ascii="Times New Roman" w:hAnsi="Times New Roman" w:cs="Times New Roman"/>
          <w:sz w:val="28"/>
          <w:szCs w:val="28"/>
        </w:rPr>
        <w:t xml:space="preserve">зглавляемый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в</w:t>
      </w:r>
      <w:r>
        <w:rPr>
          <w:rFonts w:ascii="Times New Roman" w:hAnsi="Times New Roman" w:cs="Times New Roman"/>
          <w:sz w:val="28"/>
          <w:szCs w:val="28"/>
        </w:rPr>
        <w:t xml:space="preserve">озглавляемый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-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Отдел по труду, возглавляемый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-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.2. Комитет возглавляет председатель, назначаемый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освобождаемый от должности главой города Барнаула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аппарата. Заместител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</w:t>
      </w:r>
      <w:r>
        <w:rPr>
          <w:rFonts w:ascii="Times New Roman" w:hAnsi="Times New Roman" w:cs="Times New Roman"/>
          <w:sz w:val="28"/>
          <w:szCs w:val="28"/>
        </w:rPr>
        <w:t xml:space="preserve"> - начальников отдела</w:t>
      </w:r>
      <w:r>
        <w:rPr>
          <w:rFonts w:ascii="Times New Roman" w:hAnsi="Times New Roman" w:cs="Times New Roman"/>
          <w:sz w:val="28"/>
          <w:szCs w:val="28"/>
        </w:rPr>
        <w:t xml:space="preserve"> и начальник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 должности глава города по представлению председателя Комитета 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города, руководителем аппарата. Специалистов отделов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назначает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и освобождает от должности заместитель главы администрации города, руководитель аппарата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 согласованию с заместителем главы администрации города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заместителем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поощрения заместител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Комитета, специалистов Комитета или применения к указанным лицам дисциплинарных взысканий в соответствии с действующим трудовым законодательством и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о муниципальной службе.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Комитета: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деятельностью Комитета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несет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полномочий и должностных обязанностей, персональную ответственность за организацию реализации прав, целей и задач деятельности, осуществления полномочий Комитета и исполнения его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Распределяет обязанности между заместителями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начальниками 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, закрепляет за ними персональную ответственность за реализацию определенных целей, задач, </w:t>
      </w:r>
      <w:r>
        <w:rPr>
          <w:rFonts w:ascii="Times New Roman" w:hAnsi="Times New Roman" w:cs="Times New Roman"/>
          <w:sz w:val="28"/>
          <w:szCs w:val="28"/>
        </w:rPr>
        <w:t xml:space="preserve">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Организует соблюдени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Комитета служебного распорядка и служебной дисциплины;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текущее и перспективное планирование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омитета, контролирует его выполнение;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Дает поручения, обязательные для исполнения муниципальными служащими Комитета;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Контролирует исполнение заместител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начальниками 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Комитета поручений главы города Барнаула, первого заместителя главы администрации города, заместителей главы администрации города, председателя Комитета;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защиту сведений,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служебную и государственную тайну, в пределах своей компетенции;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защиту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Комитета и граждан Российской Федерации от неправомерного их использования или утраты;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Проводит прием граждан по личным вопросам в соответствии с графиком приема граждан руководителями администрации города, обеспечивает своевременное и полное рассмотрение обращений граждан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объединений, в том числе юридических лиц, поступивших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города, Комитет, принятие по ним решений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направление ответов в установленный законодательством Российской Федерации срок;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контроль за сроками подготовки муниципальными служащими Комитета проектов муниципальных правовых актов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компетенции Комитета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своевременное размещение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Комитета на официальном Интернет-сайте города Барнаула в соответствии с действующим законодательством;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5.4.12</w:t>
      </w:r>
      <w:r>
        <w:rPr>
          <w:rFonts w:ascii="Times New Roman" w:hAnsi="Times New Roman" w:cs="Times New Roman"/>
          <w:sz w:val="28"/>
          <w:szCs w:val="28"/>
        </w:rPr>
        <w:t xml:space="preserve">. В рамках компетенции Комитета принимает меры, предусмотренные муниципальными правовыми актами города Барнаула,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(антимонопольного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полномочия, предусмотренные действующим законодательством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иными правовыми актами Алтайского края, муниципальными правовыми актами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(отпуск, командировка, болезнь и т.д.)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иное должностное лицо, определенное распоряжением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Заместител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- начальники отделов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подчиняются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- начальник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омитета, в состав которого они входят в соответствии со штатным расписанием администрации города. 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Права и обязанности заместител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отделов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определяются 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Алтайского края,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t xml:space="preserve">тами города Барнаула, должностными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Муниципальные служащие Комитета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 обязаны не разглашать св</w:t>
      </w:r>
      <w:r>
        <w:rPr>
          <w:rFonts w:ascii="Times New Roman" w:hAnsi="Times New Roman" w:cs="Times New Roman"/>
          <w:sz w:val="28"/>
          <w:szCs w:val="28"/>
        </w:rPr>
        <w:t xml:space="preserve">едения, составляющие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честь и достоинство.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hyperlink r:id="rId12" w:tooltip="consultantplus://offline/ref=3C9EBA410A74FFEBBE53CC6838A4FDBC8D7289490B73F6E3D6BAB358CB42CA3932365E678AFE8BE2D1BD5E830A94B95C6A70E989C314E722A281C9X7a9A" w:history="1">
        <w:r>
          <w:rPr>
            <w:rFonts w:ascii="Times New Roman" w:hAnsi="Times New Roman" w:cs="Times New Roman"/>
            <w:sz w:val="28"/>
            <w:szCs w:val="28"/>
          </w:rPr>
          <w:t xml:space="preserve">5</w:t>
        </w:r>
        <w:r>
          <w:rPr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Ликвидация и реорганизация Комитета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5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отделов Комитета</w:t>
      </w:r>
      <w:r/>
    </w:p>
    <w:p>
      <w:pPr>
        <w:pStyle w:val="715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5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Отдел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Комитета, непосредственно осуществляющим следующие полномочия: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городе Барнауле»,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направленной на достижение целей муниципальной политики в области создания благоприятных условий для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-51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роводит </w:t>
      </w:r>
      <w:r>
        <w:rPr>
          <w:rFonts w:ascii="Times New Roman" w:hAnsi="Times New Roman" w:cs="Times New Roman"/>
          <w:sz w:val="28"/>
          <w:szCs w:val="28"/>
        </w:rPr>
        <w:t xml:space="preserve"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статистических, </w:t>
      </w: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сфере производства товаров; 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-51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</w:t>
      </w:r>
      <w:r>
        <w:rPr>
          <w:rFonts w:ascii="Times New Roman" w:hAnsi="Times New Roman" w:cs="Times New Roman"/>
          <w:sz w:val="28"/>
          <w:szCs w:val="28"/>
        </w:rPr>
        <w:t xml:space="preserve"> работу Координационного совета предпринимателей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-5103" w:leader="none"/>
          <w:tab w:val="left" w:pos="709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работу раздела «Онлайн консультирование предпринимателей» на официальном Интернет-сайте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-5103" w:leader="none"/>
          <w:tab w:val="left" w:pos="709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официальном аккаунте Комитета в социальной сети 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Вконтакте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 (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https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://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vk.com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pred_brn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мессенджер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(</w:t>
      </w:r>
      <w:r>
        <w:fldChar w:fldCharType="begin"/>
      </w:r>
      <w:r>
        <w:instrText xml:space="preserve"> HYPERLINK "https://t.me/pred_brn" </w:instrText>
      </w:r>
      <w:r>
        <w:fldChar w:fldCharType="separate"/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https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://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t.me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/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pred_brn</w:t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fldChar w:fldCharType="end"/>
      </w:r>
      <w:r>
        <w:rPr>
          <w:rFonts w:ascii="Times New Roman" w:hAnsi="Times New Roman" w:eastAsia="Arial Unicode MS" w:cs="Times New Roman"/>
          <w:bCs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пропаганд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0"/>
        <w:numPr>
          <w:ilvl w:val="2"/>
          <w:numId w:val="16"/>
        </w:numPr>
        <w:ind w:left="0" w:firstLine="709"/>
        <w:jc w:val="both"/>
        <w:spacing w:after="0" w:line="240" w:lineRule="auto"/>
        <w:tabs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</w:t>
      </w:r>
      <w:r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«Лучший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Барнаула»</w:t>
      </w:r>
      <w:r>
        <w:rPr>
          <w:rFonts w:ascii="Times New Roman" w:hAnsi="Times New Roman" w:cs="Times New Roman"/>
          <w:sz w:val="28"/>
          <w:szCs w:val="28"/>
        </w:rPr>
        <w:t xml:space="preserve">,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единый реестр субъектов малого и среднего предпринимательства -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на муниципальном уровне;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субъектам малого и среднего предпринимательства финансовую, информационную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консультационную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вопросов, касающихся компетенции отдела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туризм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741"/>
        <w:numPr>
          <w:ilvl w:val="2"/>
          <w:numId w:val="16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рганизует и проводит исследования, выставочно-ярмарочные мероприятия, конференции, семинары по вопросам предпринимательской деятельности, за исключением вопросов, относящихся к компетенции отдела по развитию туризма;</w:t>
      </w:r>
      <w:r/>
    </w:p>
    <w:p>
      <w:pPr>
        <w:pStyle w:val="730"/>
        <w:numPr>
          <w:ilvl w:val="2"/>
          <w:numId w:val="16"/>
        </w:numPr>
        <w:ind w:left="0" w:firstLine="709"/>
        <w:jc w:val="both"/>
        <w:spacing w:after="0" w:line="240" w:lineRule="auto"/>
        <w:tabs>
          <w:tab w:val="left" w:pos="-5387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ринимает участие в подготовке, сборе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издания информационного бюллетеня «Предприниматель Барнаула»;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муниципальную услугу «</w:t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t xml:space="preserve">Выдача разрешения на право использования герба города Барнаула юридическими лицами </w:t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eastAsia="Arial Unicode MS" w:cs="Times New Roman"/>
          <w:bCs/>
          <w:color w:val="000000"/>
          <w:sz w:val="28"/>
          <w:szCs w:val="28"/>
        </w:rPr>
        <w:t xml:space="preserve">и индивидуальными предпринимателями в коммерческих целях»;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заседания комиссии по выдаче разрешения на право использования герба</w:t>
      </w:r>
      <w:r>
        <w:rPr>
          <w:rFonts w:ascii="Times New Roman" w:hAnsi="Times New Roman" w:cs="Times New Roman"/>
          <w:sz w:val="28"/>
          <w:szCs w:val="28"/>
        </w:rPr>
        <w:t xml:space="preserve"> города юридическими лицами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в коммерческих целях;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</w:t>
      </w:r>
      <w:r>
        <w:rPr>
          <w:rFonts w:ascii="Times New Roman" w:hAnsi="Times New Roman" w:cs="Times New Roman"/>
          <w:sz w:val="28"/>
          <w:szCs w:val="28"/>
        </w:rPr>
        <w:t xml:space="preserve"> ежегодный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33"/>
        <w:numPr>
          <w:ilvl w:val="2"/>
          <w:numId w:val="16"/>
        </w:numPr>
        <w:ind w:left="0" w:firstLine="709"/>
        <w:jc w:val="both"/>
        <w:spacing w:before="0" w:after="0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МНПА</w:t>
      </w:r>
      <w:r>
        <w:rPr>
          <w:rFonts w:ascii="Times New Roman" w:hAnsi="Times New Roman" w:cs="Times New Roman"/>
          <w:sz w:val="28"/>
          <w:szCs w:val="28"/>
        </w:rPr>
        <w:t xml:space="preserve">, в целях выявления положений, необоснованно затрудняющих осуществление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на основе анализа фактических результатов применения МНПА,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-5387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заявки на осуществление закупок товаров, работ, услуг в рамках реализации мероприятий муниципальной программы «Развитие предпринимательства в городе Барнауле»;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сбор данных о выполнении плана производства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крупных предприятиях обрабатывающих производств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ассматривает письменные и устные обращения предприятий,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граждан по вопросам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азраб</w:t>
      </w:r>
      <w:r>
        <w:rPr>
          <w:rFonts w:ascii="Times New Roman" w:hAnsi="Times New Roman" w:cs="Times New Roman"/>
          <w:sz w:val="28"/>
          <w:szCs w:val="28"/>
        </w:rPr>
        <w:t xml:space="preserve">атывает проекты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города по вопросам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Обеспечивает своевременное размещение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осуществляет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контроль за актуальностью информации, размещенной Отделом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В рамках компетенции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Отдела предпринимательства Комитета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принимает меры,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предусмотренные муниципальными правовыми актами города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по организации системы внутреннего обеспечения соответствия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(антимонопольного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)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6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действующим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законами и иными правовыми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Алтайского края, муниципальными правовыми актами города Барнаула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.2. Отдел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Комитета является структурным подразделением Комитета, непосредственно осуществляющим 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полномочия:</w:t>
      </w:r>
      <w:r/>
    </w:p>
    <w:p>
      <w:pPr>
        <w:pStyle w:val="730"/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методическую, консультативную помощь субъектам предпринимательства, осуществляющим деятельность в сфере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Комитета;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мониторинг состояния </w:t>
      </w:r>
      <w:r>
        <w:rPr>
          <w:rFonts w:ascii="Times New Roman" w:hAnsi="Times New Roman" w:cs="Times New Roman"/>
          <w:sz w:val="28"/>
          <w:szCs w:val="28"/>
        </w:rPr>
        <w:t xml:space="preserve">и структуры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питания, бытового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предприятий, личных подсобных и крестьянско-фермерских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 xml:space="preserve">мониторинг ассортимента </w:t>
      </w:r>
      <w:r>
        <w:rPr>
          <w:rFonts w:ascii="Times New Roman" w:hAnsi="Times New Roman" w:cs="Times New Roman"/>
          <w:sz w:val="28"/>
          <w:szCs w:val="28"/>
        </w:rPr>
        <w:t xml:space="preserve">и цен продовольственных и непродовольственных товаров на оптовых предприятиях, розничных рынках и ярмарках города</w:t>
      </w:r>
      <w:r>
        <w:rPr>
          <w:rFonts w:ascii="Times New Roman" w:hAnsi="Times New Roman" w:cs="Times New Roman"/>
          <w:sz w:val="28"/>
          <w:szCs w:val="28"/>
        </w:rPr>
        <w:t xml:space="preserve">, в нестационарных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азраб</w:t>
      </w:r>
      <w:r>
        <w:rPr>
          <w:rFonts w:ascii="Times New Roman" w:hAnsi="Times New Roman" w:cs="Times New Roman"/>
          <w:sz w:val="28"/>
          <w:szCs w:val="28"/>
        </w:rPr>
        <w:t xml:space="preserve">атывает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потребительского рынка;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определению статуса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к</w:t>
      </w:r>
      <w:r>
        <w:rPr>
          <w:rFonts w:ascii="Times New Roman" w:hAnsi="Times New Roman" w:cs="Times New Roman"/>
          <w:sz w:val="28"/>
          <w:szCs w:val="28"/>
        </w:rPr>
        <w:t xml:space="preserve">омисси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оценки рисков, связанных с принятием муниципального правового акта,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планируется первоначальное установление, </w:t>
      </w:r>
      <w:r>
        <w:rPr>
          <w:rFonts w:ascii="Times New Roman" w:hAnsi="Times New Roman" w:cs="Times New Roman"/>
          <w:sz w:val="28"/>
          <w:szCs w:val="28"/>
        </w:rPr>
        <w:t xml:space="preserve">увеличение, уменьшение или отмена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работу и оказывает содействие администрациям районов города по проведению продовольственных ярмарок;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согласования </w:t>
      </w:r>
      <w:r>
        <w:rPr>
          <w:rStyle w:val="736"/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Style w:val="736"/>
          <w:rFonts w:ascii="Times New Roman" w:hAnsi="Times New Roman" w:cs="Times New Roman"/>
          <w:sz w:val="28"/>
          <w:szCs w:val="28"/>
        </w:rPr>
        <w:t xml:space="preserve">о проведении ярмарки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«Выдача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политику по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утвержд</w:t>
      </w:r>
      <w:r>
        <w:rPr>
          <w:rFonts w:ascii="Times New Roman" w:hAnsi="Times New Roman" w:cs="Times New Roman"/>
          <w:sz w:val="28"/>
          <w:szCs w:val="28"/>
        </w:rPr>
        <w:t xml:space="preserve">ение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торговое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городских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федеральные органы исполнительной власти,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(работ, услуг), при выявлении товаров (работ, услуг) ненадлежащего качества, а также опасных для жизни, здоровья, имущества потребителей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окружающей среды;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конкурсы профессионального мастерства;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р</w:t>
      </w:r>
      <w:r>
        <w:rPr>
          <w:rFonts w:ascii="Times New Roman" w:hAnsi="Times New Roman" w:cs="Times New Roman"/>
          <w:sz w:val="28"/>
          <w:szCs w:val="28"/>
        </w:rPr>
        <w:t xml:space="preserve">еализует мероприятия муниципальной программы «Развитие предпринимательства в городе Барнауле»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развитие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2"/>
          <w:numId w:val="14"/>
        </w:numPr>
        <w:ind w:left="0" w:firstLine="709"/>
        <w:jc w:val="both"/>
        <w:spacing w:after="0" w:line="240" w:lineRule="auto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ыполняет работы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нормированного снабжения населения продовольственными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непродовольственными товарами в период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и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50"/>
        <w:numPr>
          <w:ilvl w:val="2"/>
          <w:numId w:val="14"/>
        </w:numPr>
        <w:ind w:left="0" w:firstLine="709"/>
        <w:jc w:val="both"/>
        <w:spacing w:before="0" w:beforeAutospacing="0" w:after="0" w:afterAutospacing="0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</w:t>
      </w:r>
      <w:r>
        <w:rPr>
          <w:sz w:val="28"/>
          <w:szCs w:val="28"/>
        </w:rPr>
        <w:t xml:space="preserve">одит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по гражданской обороне, профилактике </w:t>
      </w:r>
      <w:r>
        <w:rPr>
          <w:sz w:val="28"/>
          <w:szCs w:val="28"/>
        </w:rPr>
        <w:t xml:space="preserve">терроризма, созданию резервов материальных ресурсов для ликвидации чрезвычайных ситуаций;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</w:t>
      </w:r>
      <w:r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службы торговли и питания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действиям при возникновении чрезвычайных ситуаций в мирное </w:t>
      </w:r>
      <w:r>
        <w:rPr>
          <w:rFonts w:ascii="Times New Roman" w:hAnsi="Times New Roman" w:cs="Times New Roman"/>
          <w:sz w:val="28"/>
          <w:szCs w:val="28"/>
        </w:rPr>
        <w:t xml:space="preserve">и военное времени</w:t>
      </w:r>
      <w:r>
        <w:rPr>
          <w:rFonts w:ascii="Times New Roman" w:hAnsi="Times New Roman" w:cs="Times New Roman"/>
          <w:sz w:val="28"/>
          <w:szCs w:val="28"/>
        </w:rPr>
        <w:t xml:space="preserve">, в условиях гражданской обороны;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418" w:leader="none"/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сбор, обобщение и учет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реализации на торговых объектах, расположенных в городе </w:t>
      </w:r>
      <w:r>
        <w:rPr>
          <w:rFonts w:ascii="Times New Roman" w:hAnsi="Times New Roman" w:cs="Times New Roman"/>
          <w:sz w:val="28"/>
          <w:szCs w:val="28"/>
        </w:rPr>
        <w:t xml:space="preserve">Барнауле</w:t>
      </w:r>
      <w:r>
        <w:rPr>
          <w:rFonts w:ascii="Times New Roman" w:hAnsi="Times New Roman" w:cs="Times New Roman"/>
          <w:sz w:val="28"/>
          <w:szCs w:val="28"/>
        </w:rPr>
        <w:t xml:space="preserve"> (независимо от их организационно-правовой формы), требований антитеррористической защищенности, включая вопросы категорирования, паспортизации, инженерно-технической </w:t>
      </w:r>
      <w:r>
        <w:rPr>
          <w:rFonts w:ascii="Times New Roman" w:hAnsi="Times New Roman" w:cs="Times New Roman"/>
          <w:sz w:val="28"/>
          <w:szCs w:val="28"/>
        </w:rPr>
        <w:t xml:space="preserve">укр</w:t>
      </w:r>
      <w:r>
        <w:rPr>
          <w:rFonts w:ascii="Times New Roman" w:hAnsi="Times New Roman" w:cs="Times New Roman"/>
          <w:sz w:val="28"/>
          <w:szCs w:val="28"/>
        </w:rPr>
        <w:t xml:space="preserve">епленности</w:t>
      </w:r>
      <w:r>
        <w:rPr>
          <w:rFonts w:ascii="Times New Roman" w:hAnsi="Times New Roman" w:cs="Times New Roman"/>
          <w:sz w:val="28"/>
          <w:szCs w:val="28"/>
        </w:rPr>
        <w:t xml:space="preserve">, оснащения </w:t>
      </w:r>
      <w:r>
        <w:rPr>
          <w:rFonts w:ascii="Times New Roman" w:hAnsi="Times New Roman" w:cs="Times New Roman"/>
          <w:sz w:val="28"/>
          <w:szCs w:val="28"/>
        </w:rPr>
        <w:t xml:space="preserve">их техническими средствами охраны в соответствии с требованиями, утвержденными постановлением Правительства Российской 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19.10.2017 №1273 «Об утверждении требований 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торговых объектов (территорий)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формы паспорта безопасности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 (территории)»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письменные и устные обращения предприятий, организаций, индивидуальных предпринимателей, граждан по вопросам потребительского рынка, сельского хозяйства, садоводства, огородничества и деятельности дачных некоммерческих объединений;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разъяснительную и методическую работу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применению правовых актов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торговли, общественного питания, бытового обслуживания, сельскохозяйственных предприятий, личных подсобных и крестьянско-фермерских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, садоводческих некоммерческих товариществ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потребительского рынка;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Обеспечивает своевременное размещение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отдела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Комитета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осуществляет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контроль за актуальностью информации, размещенной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отделом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В рамках компетенции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отдела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принимает меры,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предусмотренные муниципальными правовыми актами города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по организации системы внутреннего обеспечения соответствия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(антимонопольного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)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действующим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законами и иными правовыми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Алтайского края, муниципальными правовыми актами города Барнаула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труду Комитета явля</w:t>
      </w:r>
      <w:r>
        <w:rPr>
          <w:rFonts w:ascii="Times New Roman" w:hAnsi="Times New Roman" w:cs="Times New Roman"/>
          <w:sz w:val="28"/>
          <w:szCs w:val="28"/>
        </w:rPr>
        <w:t xml:space="preserve">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Комитета, непосредственно осуществляющим следующие полномочия: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городской трехсторонней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регулированию социально-трудовых отношений;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проект и организует работу по распространению действия городского трехстороннего соглашения между администрацией города, городскими объединениями работодателей и Алтайским краевым союзом организаций профсоюзов;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городского трехстороннего соглашения между администрацией города, городскими объединениями работодателей и Алтайским краевым союзом организаций профсоюзов;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рабочей группы по регулированию выплаты заработной платы;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мониторинг темпа роста и своевременности выплаты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в организациях города;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 содействие в решении вопросов по повышению заработной платы и ликвидации задолженности по заработной плате перед работниками организаций города;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 мероприятия, направленные на с</w:t>
      </w:r>
      <w:r>
        <w:rPr>
          <w:rFonts w:ascii="Times New Roman" w:hAnsi="Times New Roman" w:cs="Times New Roman"/>
          <w:sz w:val="28"/>
          <w:szCs w:val="28"/>
        </w:rPr>
        <w:t xml:space="preserve">нижение дефицита кадров и повышение престижности рабочих профессий;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Прогнозирует развитие социально-трудовых процессов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городе;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рганизует городские конкурсы,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этапы</w:t>
      </w:r>
      <w:r>
        <w:rPr>
          <w:rFonts w:ascii="Times New Roman" w:hAnsi="Times New Roman" w:cs="Times New Roman"/>
          <w:sz w:val="28"/>
          <w:szCs w:val="28"/>
        </w:rPr>
        <w:t xml:space="preserve"> краевых конкурсов в социально -</w:t>
      </w:r>
      <w:r>
        <w:rPr>
          <w:rFonts w:ascii="Times New Roman" w:hAnsi="Times New Roman" w:cs="Times New Roman"/>
          <w:sz w:val="28"/>
          <w:szCs w:val="28"/>
        </w:rPr>
        <w:t xml:space="preserve"> трудовой сфере;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системы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руководителей,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заместителей и главных бухгалтеров муниципальных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города;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трудовые договоры в части оплаты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с руководителями муниципальных унитарных предприятий и учреждений; 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мониторинг создания новых рабочих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организациях города;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расследовании несчастных случаев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обобщению и распространению опыта эффективной работы по охране труда в организациях города, оказывает консультационную помощь по вопросам охраны труда работодателям города, в том числе иным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системы управления охраной труда в администрации города;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проводимого уполномоченными органами в подведомственных им ор</w:t>
      </w:r>
      <w:r>
        <w:rPr>
          <w:rFonts w:ascii="Times New Roman" w:hAnsi="Times New Roman" w:cs="Times New Roman"/>
          <w:sz w:val="28"/>
          <w:szCs w:val="28"/>
        </w:rPr>
        <w:t xml:space="preserve">ганизациях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письменные и устные обращения предприятий, организаций, граждан по вопросам трудового законодательства;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разъяснительную и методическую работу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применению норм муниципальных правовых актов города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труда;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Style w:val="752"/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Обеспечивает своевременное размещение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тдела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труду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 в соответствии с действующим законодательством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и осуществляет контроль за актуаль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ностью информации, размещенной о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тделом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по труду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widowControl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В рамках компетенции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отдела по труду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принимает меры,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предусмотренные муниципальными правовыми актами города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по организации системы внутреннего обеспечения соответствия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(антимонопольного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)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Style w:val="752"/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Осуществляет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подготовку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муниципальных правовых актов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в социально-трудовой сфере;</w:t>
      </w:r>
      <w:r/>
    </w:p>
    <w:p>
      <w:pPr>
        <w:pStyle w:val="715"/>
        <w:numPr>
          <w:ilvl w:val="2"/>
          <w:numId w:val="14"/>
        </w:numPr>
        <w:ind w:left="0" w:firstLine="709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52"/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иные полномочия, предусмотренные действующим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законами </w:t>
      </w:r>
      <w:r>
        <w:rPr>
          <w:rStyle w:val="752"/>
          <w:rFonts w:ascii="Times New Roman" w:hAnsi="Times New Roman" w:cs="Times New Roman"/>
          <w:sz w:val="28"/>
          <w:szCs w:val="28"/>
        </w:rPr>
        <w:br/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и иными правовыми актами Алтайского края, муниципальными правовыми актами города Барнаула</w:t>
      </w:r>
      <w:r>
        <w:rPr>
          <w:rStyle w:val="752"/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Комитета, заместители председателя Комитета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Комитета совместно осуществляют деятельность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Комитета в сферах, не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6 «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лномочия отделов Комитета» Положения</w:t>
      </w:r>
      <w:r>
        <w:rPr>
          <w:rFonts w:ascii="Times New Roman" w:hAnsi="Times New Roman" w:cs="Times New Roman"/>
          <w:sz w:val="28"/>
          <w:szCs w:val="28"/>
        </w:rPr>
        <w:t xml:space="preserve">, исходя из распределения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должностным инструкциям.</w:t>
      </w:r>
      <w:r/>
    </w:p>
    <w:p>
      <w:pPr>
        <w:pStyle w:val="71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37767360"/>
      <w:docPartObj>
        <w:docPartGallery w:val="Page Numbers (Top of Page)"/>
        <w:docPartUnique w:val="true"/>
      </w:docPartObj>
      <w:rPr/>
    </w:sdtPr>
    <w:sdtContent>
      <w:p>
        <w:pPr>
          <w:pStyle w:val="71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05" w:hanging="825"/>
      </w:pPr>
      <w:rPr>
        <w:rFonts w:hint="default"/>
      </w:rPr>
    </w:lvl>
    <w:lvl w:ilvl="2">
      <w:start w:val="15"/>
      <w:numFmt w:val="decimal"/>
      <w:isLgl w:val="false"/>
      <w:suff w:val="tab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  <w:tabs>
          <w:tab w:val="num" w:pos="408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  <w:tabs>
          <w:tab w:val="num" w:pos="21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  <w:tabs>
          <w:tab w:val="num" w:pos="32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  <w:tabs>
          <w:tab w:val="num" w:pos="39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  <w:tabs>
          <w:tab w:val="num" w:pos="4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  <w:tabs>
          <w:tab w:val="num" w:pos="60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  <w:tabs>
          <w:tab w:val="num" w:pos="67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  <w:tabs>
          <w:tab w:val="num" w:pos="784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  <w:tabs>
          <w:tab w:val="num" w:pos="408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  <w:tabs>
          <w:tab w:val="num" w:pos="21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  <w:tabs>
          <w:tab w:val="num" w:pos="32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  <w:tabs>
          <w:tab w:val="num" w:pos="39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  <w:tabs>
          <w:tab w:val="num" w:pos="4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  <w:tabs>
          <w:tab w:val="num" w:pos="60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  <w:tabs>
          <w:tab w:val="num" w:pos="67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  <w:tabs>
          <w:tab w:val="num" w:pos="784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  <w:tabs>
          <w:tab w:val="num" w:pos="408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  <w:tabs>
          <w:tab w:val="num" w:pos="21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  <w:tabs>
          <w:tab w:val="num" w:pos="32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  <w:tabs>
          <w:tab w:val="num" w:pos="39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  <w:tabs>
          <w:tab w:val="num" w:pos="4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  <w:tabs>
          <w:tab w:val="num" w:pos="60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  <w:tabs>
          <w:tab w:val="num" w:pos="67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  <w:tabs>
          <w:tab w:val="num" w:pos="784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  <w:tabs>
          <w:tab w:val="num" w:pos="408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  <w:tabs>
          <w:tab w:val="num" w:pos="14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  <w:tabs>
          <w:tab w:val="num" w:pos="21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  <w:tabs>
          <w:tab w:val="num" w:pos="32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  <w:tabs>
          <w:tab w:val="num" w:pos="39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  <w:tabs>
          <w:tab w:val="num" w:pos="4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  <w:tabs>
          <w:tab w:val="num" w:pos="60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  <w:tabs>
          <w:tab w:val="num" w:pos="67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  <w:tabs>
          <w:tab w:val="num" w:pos="784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5483" w:hanging="123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9"/>
  </w:num>
  <w:num w:numId="8">
    <w:abstractNumId w:val="23"/>
  </w:num>
  <w:num w:numId="9">
    <w:abstractNumId w:val="17"/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20"/>
  </w:num>
  <w:num w:numId="16">
    <w:abstractNumId w:val="21"/>
  </w:num>
  <w:num w:numId="17">
    <w:abstractNumId w:val="1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"/>
  </w:num>
  <w:num w:numId="23">
    <w:abstractNumId w:val="7"/>
  </w:num>
  <w:num w:numId="24">
    <w:abstractNumId w:val="1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2"/>
    <w:link w:val="71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12"/>
    <w:link w:val="71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9"/>
    <w:next w:val="7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9"/>
    <w:next w:val="7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9"/>
    <w:next w:val="7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9"/>
    <w:next w:val="7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9"/>
    <w:next w:val="7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9"/>
    <w:next w:val="7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9"/>
    <w:next w:val="7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12"/>
    <w:link w:val="739"/>
    <w:uiPriority w:val="10"/>
    <w:rPr>
      <w:sz w:val="48"/>
      <w:szCs w:val="48"/>
    </w:rPr>
  </w:style>
  <w:style w:type="paragraph" w:styleId="35">
    <w:name w:val="Subtitle"/>
    <w:basedOn w:val="709"/>
    <w:next w:val="7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2"/>
    <w:link w:val="35"/>
    <w:uiPriority w:val="11"/>
    <w:rPr>
      <w:sz w:val="24"/>
      <w:szCs w:val="24"/>
    </w:rPr>
  </w:style>
  <w:style w:type="paragraph" w:styleId="37">
    <w:name w:val="Quote"/>
    <w:basedOn w:val="709"/>
    <w:next w:val="7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9"/>
    <w:next w:val="7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2"/>
    <w:link w:val="717"/>
    <w:uiPriority w:val="99"/>
  </w:style>
  <w:style w:type="character" w:styleId="44">
    <w:name w:val="Footer Char"/>
    <w:basedOn w:val="712"/>
    <w:link w:val="719"/>
    <w:uiPriority w:val="99"/>
  </w:style>
  <w:style w:type="paragraph" w:styleId="45">
    <w:name w:val="Caption"/>
    <w:basedOn w:val="709"/>
    <w:next w:val="7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9"/>
    <w:uiPriority w:val="99"/>
  </w:style>
  <w:style w:type="table" w:styleId="48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26"/>
    <w:uiPriority w:val="99"/>
    <w:rPr>
      <w:sz w:val="18"/>
    </w:rPr>
  </w:style>
  <w:style w:type="character" w:styleId="178">
    <w:name w:val="Endnote Text Char"/>
    <w:link w:val="723"/>
    <w:uiPriority w:val="99"/>
    <w:rPr>
      <w:sz w:val="20"/>
    </w:rPr>
  </w:style>
  <w:style w:type="paragraph" w:styleId="180">
    <w:name w:val="toc 1"/>
    <w:basedOn w:val="709"/>
    <w:next w:val="7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9"/>
    <w:next w:val="7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9"/>
    <w:next w:val="7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9"/>
    <w:next w:val="7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9"/>
    <w:next w:val="7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9"/>
    <w:next w:val="7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9"/>
    <w:next w:val="7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9"/>
    <w:next w:val="7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9"/>
    <w:next w:val="7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731"/>
    <w:qFormat/>
    <w:pPr>
      <w:ind w:left="4395"/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11">
    <w:name w:val="Heading 2"/>
    <w:basedOn w:val="709"/>
    <w:next w:val="709"/>
    <w:link w:val="732"/>
    <w:qFormat/>
    <w:pPr>
      <w:ind w:firstLine="851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71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717">
    <w:name w:val="Header"/>
    <w:basedOn w:val="709"/>
    <w:link w:val="7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8" w:customStyle="1">
    <w:name w:val="Верхний колонтитул Знак"/>
    <w:basedOn w:val="712"/>
    <w:link w:val="717"/>
    <w:uiPriority w:val="99"/>
  </w:style>
  <w:style w:type="paragraph" w:styleId="719">
    <w:name w:val="Footer"/>
    <w:basedOn w:val="709"/>
    <w:link w:val="72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0" w:customStyle="1">
    <w:name w:val="Нижний колонтитул Знак"/>
    <w:basedOn w:val="712"/>
    <w:link w:val="719"/>
    <w:uiPriority w:val="99"/>
    <w:semiHidden/>
  </w:style>
  <w:style w:type="paragraph" w:styleId="721">
    <w:name w:val="Balloon Text"/>
    <w:basedOn w:val="709"/>
    <w:link w:val="7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2" w:customStyle="1">
    <w:name w:val="Текст выноски Знак"/>
    <w:basedOn w:val="712"/>
    <w:link w:val="721"/>
    <w:uiPriority w:val="99"/>
    <w:semiHidden/>
    <w:rPr>
      <w:rFonts w:ascii="Tahoma" w:hAnsi="Tahoma" w:cs="Tahoma"/>
      <w:sz w:val="16"/>
      <w:szCs w:val="16"/>
    </w:rPr>
  </w:style>
  <w:style w:type="paragraph" w:styleId="723">
    <w:name w:val="endnote text"/>
    <w:basedOn w:val="709"/>
    <w:link w:val="72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24" w:customStyle="1">
    <w:name w:val="Текст концевой сноски Знак"/>
    <w:basedOn w:val="712"/>
    <w:link w:val="723"/>
    <w:uiPriority w:val="99"/>
    <w:semiHidden/>
    <w:rPr>
      <w:sz w:val="20"/>
      <w:szCs w:val="20"/>
    </w:rPr>
  </w:style>
  <w:style w:type="character" w:styleId="725">
    <w:name w:val="endnote reference"/>
    <w:basedOn w:val="712"/>
    <w:uiPriority w:val="99"/>
    <w:semiHidden/>
    <w:unhideWhenUsed/>
    <w:rPr>
      <w:vertAlign w:val="superscript"/>
    </w:rPr>
  </w:style>
  <w:style w:type="paragraph" w:styleId="726">
    <w:name w:val="footnote text"/>
    <w:basedOn w:val="709"/>
    <w:link w:val="72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27" w:customStyle="1">
    <w:name w:val="Текст сноски Знак"/>
    <w:basedOn w:val="712"/>
    <w:link w:val="726"/>
    <w:uiPriority w:val="99"/>
    <w:semiHidden/>
    <w:rPr>
      <w:sz w:val="20"/>
      <w:szCs w:val="20"/>
    </w:rPr>
  </w:style>
  <w:style w:type="character" w:styleId="728">
    <w:name w:val="footnote reference"/>
    <w:basedOn w:val="712"/>
    <w:uiPriority w:val="99"/>
    <w:semiHidden/>
    <w:unhideWhenUsed/>
    <w:rPr>
      <w:vertAlign w:val="superscript"/>
    </w:rPr>
  </w:style>
  <w:style w:type="character" w:styleId="729">
    <w:name w:val="Hyperlink"/>
    <w:basedOn w:val="712"/>
    <w:uiPriority w:val="99"/>
    <w:unhideWhenUsed/>
    <w:rPr>
      <w:color w:val="0563c1" w:themeColor="hyperlink"/>
      <w:u w:val="single"/>
    </w:rPr>
  </w:style>
  <w:style w:type="paragraph" w:styleId="730">
    <w:name w:val="List Paragraph"/>
    <w:basedOn w:val="709"/>
    <w:qFormat/>
    <w:pPr>
      <w:contextualSpacing/>
      <w:ind w:left="720"/>
      <w:spacing w:after="200" w:line="276" w:lineRule="auto"/>
    </w:pPr>
  </w:style>
  <w:style w:type="character" w:styleId="731" w:customStyle="1">
    <w:name w:val="Заголовок 1 Знак"/>
    <w:basedOn w:val="712"/>
    <w:link w:val="71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2" w:customStyle="1">
    <w:name w:val="Заголовок 2 Знак"/>
    <w:basedOn w:val="712"/>
    <w:link w:val="71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3">
    <w:name w:val="Normal (Web)"/>
    <w:basedOn w:val="709"/>
    <w:pPr>
      <w:spacing w:before="75" w:after="75" w:line="240" w:lineRule="auto"/>
    </w:pPr>
    <w:rPr>
      <w:rFonts w:ascii="Tahoma" w:hAnsi="Tahoma" w:eastAsia="Times New Roman" w:cs="Tahoma"/>
      <w:sz w:val="18"/>
      <w:szCs w:val="18"/>
      <w:lang w:eastAsia="ru-RU"/>
    </w:rPr>
  </w:style>
  <w:style w:type="character" w:styleId="734">
    <w:name w:val="Strong"/>
    <w:uiPriority w:val="22"/>
    <w:qFormat/>
    <w:rPr>
      <w:b/>
      <w:bCs/>
    </w:rPr>
  </w:style>
  <w:style w:type="character" w:styleId="735" w:customStyle="1">
    <w:name w:val="extendedtext-full"/>
  </w:style>
  <w:style w:type="character" w:styleId="736" w:customStyle="1">
    <w:name w:val="selector_content"/>
    <w:basedOn w:val="712"/>
  </w:style>
  <w:style w:type="paragraph" w:styleId="737">
    <w:name w:val="Body Text"/>
    <w:basedOn w:val="709"/>
    <w:link w:val="738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38" w:customStyle="1">
    <w:name w:val="Основной текст Знак"/>
    <w:basedOn w:val="712"/>
    <w:link w:val="737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39">
    <w:name w:val="Title"/>
    <w:basedOn w:val="709"/>
    <w:link w:val="740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40" w:customStyle="1">
    <w:name w:val="Название Знак"/>
    <w:basedOn w:val="712"/>
    <w:link w:val="73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41">
    <w:name w:val="Body Text Indent"/>
    <w:basedOn w:val="709"/>
    <w:link w:val="742"/>
    <w:uiPriority w:val="99"/>
    <w:semiHidden/>
    <w:unhideWhenUsed/>
    <w:pPr>
      <w:ind w:left="283"/>
      <w:spacing w:after="120"/>
    </w:pPr>
  </w:style>
  <w:style w:type="character" w:styleId="742" w:customStyle="1">
    <w:name w:val="Основной текст с отступом Знак"/>
    <w:basedOn w:val="712"/>
    <w:link w:val="741"/>
    <w:uiPriority w:val="99"/>
    <w:semiHidden/>
  </w:style>
  <w:style w:type="character" w:styleId="743">
    <w:name w:val="annotation reference"/>
    <w:rPr>
      <w:sz w:val="16"/>
      <w:szCs w:val="16"/>
    </w:rPr>
  </w:style>
  <w:style w:type="paragraph" w:styleId="744">
    <w:name w:val="annotation text"/>
    <w:basedOn w:val="709"/>
    <w:link w:val="7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45" w:customStyle="1">
    <w:name w:val="Текст примечания Знак"/>
    <w:basedOn w:val="712"/>
    <w:link w:val="744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46">
    <w:name w:val="Table Grid"/>
    <w:basedOn w:val="7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7">
    <w:name w:val="annotation subject"/>
    <w:basedOn w:val="744"/>
    <w:next w:val="744"/>
    <w:link w:val="748"/>
    <w:uiPriority w:val="99"/>
    <w:semiHidden/>
    <w:unhideWhenUsed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748" w:customStyle="1">
    <w:name w:val="Тема примечания Знак"/>
    <w:basedOn w:val="745"/>
    <w:link w:val="747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749" w:customStyle="1">
    <w:name w:val="Знак Знак Знак"/>
    <w:basedOn w:val="709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750" w:customStyle="1">
    <w:name w:val="formattext"/>
    <w:basedOn w:val="7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1" w:customStyle="1">
    <w:name w:val="extendedtext-short"/>
    <w:basedOn w:val="712"/>
  </w:style>
  <w:style w:type="character" w:styleId="752" w:customStyle="1">
    <w:name w:val="markedcontent"/>
    <w:basedOn w:val="71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t.me/pred_brn" TargetMode="External"/><Relationship Id="rId12" Type="http://schemas.openxmlformats.org/officeDocument/2006/relationships/hyperlink" Target="consultantplus://offline/ref=3C9EBA410A74FFEBBE53CC6838A4FDBC8D7289490B73F6E3D6BAB358CB42CA3932365E678AFE8BE2D1BD5E830A94B95C6A70E989C314E722A281C9X7a9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1FB0-8024-42F0-8437-25B0F19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Светалана А. Воробьева</dc:creator>
  <cp:revision>18</cp:revision>
  <dcterms:created xsi:type="dcterms:W3CDTF">2023-09-15T07:48:00Z</dcterms:created>
  <dcterms:modified xsi:type="dcterms:W3CDTF">2023-10-31T06:17:30Z</dcterms:modified>
</cp:coreProperties>
</file>