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C" w:rsidRPr="00167D39" w:rsidRDefault="00AA7F6C" w:rsidP="00AA7F6C">
      <w:pPr>
        <w:pStyle w:val="ConsPlusNormal"/>
        <w:ind w:left="5421"/>
        <w:outlineLvl w:val="0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>Приложение</w:t>
      </w:r>
    </w:p>
    <w:p w:rsidR="00AA7F6C" w:rsidRPr="00167D39" w:rsidRDefault="00AA7F6C" w:rsidP="00AA7F6C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D3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A7F6C" w:rsidRPr="00167D39" w:rsidRDefault="00AA7F6C" w:rsidP="00AA7F6C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A7F6C" w:rsidRPr="00167D39" w:rsidRDefault="00AA7F6C" w:rsidP="00AA7F6C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12.09.2019</w:t>
      </w:r>
      <w:r w:rsidRPr="0016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</w:t>
      </w:r>
    </w:p>
    <w:p w:rsidR="00AA7F6C" w:rsidRPr="00167D39" w:rsidRDefault="00AA7F6C" w:rsidP="00AA7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6C" w:rsidRPr="00167D39" w:rsidRDefault="00AA7F6C" w:rsidP="00AA7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F6C" w:rsidRPr="00167D39" w:rsidRDefault="00AA7F6C" w:rsidP="00AA7F6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3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A7F6C" w:rsidRPr="00167D39" w:rsidRDefault="00AA7F6C" w:rsidP="00AA7F6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39">
        <w:rPr>
          <w:rFonts w:ascii="Times New Roman" w:hAnsi="Times New Roman" w:cs="Times New Roman"/>
          <w:bCs/>
          <w:sz w:val="28"/>
          <w:szCs w:val="28"/>
        </w:rPr>
        <w:t xml:space="preserve">о наградах и поощрениях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Индустриального района города Барнаула</w:t>
      </w:r>
    </w:p>
    <w:p w:rsidR="00AA7F6C" w:rsidRPr="00167D39" w:rsidRDefault="00AA7F6C" w:rsidP="00AA7F6C">
      <w:pPr>
        <w:shd w:val="clear" w:color="auto" w:fill="FFFFFF"/>
        <w:jc w:val="both"/>
        <w:rPr>
          <w:szCs w:val="28"/>
        </w:rPr>
      </w:pP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Положение о нагр</w:t>
      </w:r>
      <w:r>
        <w:rPr>
          <w:rFonts w:ascii="Times New Roman" w:hAnsi="Times New Roman" w:cs="Times New Roman"/>
          <w:sz w:val="28"/>
          <w:szCs w:val="28"/>
        </w:rPr>
        <w:t>адах и поощрениях администрации Индустриального района города Барнаула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виды наград и поощрений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>, порядок и основания их применения.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Наградами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Почетная грамот</w:t>
      </w:r>
      <w:r>
        <w:rPr>
          <w:rFonts w:ascii="Times New Roman" w:hAnsi="Times New Roman" w:cs="Times New Roman"/>
          <w:sz w:val="28"/>
          <w:szCs w:val="28"/>
        </w:rPr>
        <w:t>а администрации района;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Благодарственное письм</w:t>
      </w:r>
      <w:r>
        <w:rPr>
          <w:rFonts w:ascii="Times New Roman" w:hAnsi="Times New Roman" w:cs="Times New Roman"/>
          <w:sz w:val="28"/>
          <w:szCs w:val="28"/>
        </w:rPr>
        <w:t>о администрации района;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Поощрениями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администрации района;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Занесение на Доску Почета района</w:t>
      </w:r>
      <w:r w:rsidRPr="009451FA">
        <w:rPr>
          <w:rFonts w:ascii="Times New Roman" w:hAnsi="Times New Roman" w:cs="Times New Roman"/>
          <w:sz w:val="28"/>
          <w:szCs w:val="28"/>
        </w:rPr>
        <w:t>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Награждение наградами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осуществляется за заслуги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строительстве, благоустройстве, </w:t>
      </w:r>
      <w:r w:rsidRPr="009451FA">
        <w:rPr>
          <w:rFonts w:ascii="Times New Roman" w:hAnsi="Times New Roman" w:cs="Times New Roman"/>
          <w:sz w:val="28"/>
          <w:szCs w:val="28"/>
        </w:rPr>
        <w:t xml:space="preserve">науке, культуре, </w:t>
      </w:r>
      <w:r>
        <w:rPr>
          <w:rFonts w:ascii="Times New Roman" w:hAnsi="Times New Roman" w:cs="Times New Roman"/>
          <w:sz w:val="28"/>
          <w:szCs w:val="28"/>
        </w:rPr>
        <w:t>спорте</w:t>
      </w:r>
      <w:r w:rsidRPr="009451FA">
        <w:rPr>
          <w:rFonts w:ascii="Times New Roman" w:hAnsi="Times New Roman" w:cs="Times New Roman"/>
          <w:sz w:val="28"/>
          <w:szCs w:val="28"/>
        </w:rPr>
        <w:t>, просвещении,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промышленного производства, предпринимательства и местного самоуправления, 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охране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и окружающей среды</w:t>
      </w:r>
      <w:r w:rsidRPr="009451FA">
        <w:rPr>
          <w:rFonts w:ascii="Times New Roman" w:hAnsi="Times New Roman" w:cs="Times New Roman"/>
          <w:sz w:val="28"/>
          <w:szCs w:val="28"/>
        </w:rPr>
        <w:t>, обеспечении законности, прав и свобод человека и гражданина.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администрации района, Благодарственным письмом администрации района, Благодарностью администрации района, Дипломом администрации района, занесением на Доску Почета района награждаются (поощряются)  граждане и трудовые коллективы предприятий, организаций, учреждений независимо от форм собственности (далее - трудовые коллективы), осуществляющие свою деятельность на территории района.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(поощрение) может быть приурочено к государственным, профессиональным, общегородским праздникам, подведению итогов социально - экономического развития района за год, юбилейным датам.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награждаются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51FA">
        <w:rPr>
          <w:rFonts w:ascii="Times New Roman" w:hAnsi="Times New Roman" w:cs="Times New Roman"/>
          <w:sz w:val="28"/>
          <w:szCs w:val="28"/>
        </w:rPr>
        <w:t>трудовые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1FA">
        <w:rPr>
          <w:rFonts w:ascii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</w:rPr>
        <w:t xml:space="preserve"> награды и (или) поощрения от имени органов государственной власти, местного самоуправления и трудовой стаж (для трудовых коллективов - продолжительность деятельности) </w:t>
      </w:r>
      <w:r w:rsidRPr="002B1AD6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1A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Благодарственным письмом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награждаются граждане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Pr="009451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поощрения за отличие в труде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имени организаций и трудовой стаж (для трудовых коллективов - продолжительность деятельности) </w:t>
      </w:r>
      <w:r w:rsidRPr="002B1AD6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B1A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главы администрации района является формой поощрения граждан  и трудовых коллективов за активное участие в работах по предотвращению и ликвидации аварий на объектах жизнеобеспечения города, в проведении общественно значимых предприятиях, а также за добросовестный труд на благо района.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9451FA">
        <w:rPr>
          <w:rFonts w:ascii="Times New Roman" w:hAnsi="Times New Roman" w:cs="Times New Roman"/>
          <w:sz w:val="28"/>
          <w:szCs w:val="28"/>
        </w:rPr>
        <w:t xml:space="preserve">Диплом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формой поощрения граждан и трудовых коллективов за участие в конкурсах, соревнованиях,  проводимых администрацией района.</w:t>
      </w:r>
    </w:p>
    <w:p w:rsidR="00AA7F6C" w:rsidRPr="009451FA" w:rsidRDefault="00AA7F6C" w:rsidP="00AA7F6C">
      <w:pPr>
        <w:pStyle w:val="ConsPlusNormal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поощрения Дипломом администрации района, определяется  положением о проведении конкурсов, соревнований, проводимых администрацией района. </w:t>
      </w:r>
    </w:p>
    <w:bookmarkEnd w:id="0"/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Занесением на Доску Почета района (далее - Доска Почета) поощряются граждане и трудовые коллективы  за  особый вклад в одну из сфер, предусмотренных в пункте 4 Положения.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Доску Почета заносятся фамилии граждан и наименования организаций, признанных лучшими по сравнительным  показателям оценки по отраслям производства, научной, культурной, спортивной, общественной  благотворительной и иной деятельности.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представленных в администрацию района кандидатур  проводится по следующим критериям: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многолетняя общественная и благотворительная деятельность на территории района;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в профессиональной деятельности;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достижения, получившие международное и всероссийское признание.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и трудовым коллективам, занесенным на Доску Почета, выдается Свидетельство о занесении на Доску Почета.  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награждения (поощрения) трудовых коллективов, руководителей, заместителей руководителей организаций является отсутствие просроченной задолженности по уплате налоговых платежей во все уровни бюджетной системы Российской Федерации, по заработной плате перед работниками.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ar117" w:history="1">
        <w:r w:rsidRPr="009451FA">
          <w:rPr>
            <w:rFonts w:ascii="Times New Roman" w:hAnsi="Times New Roman" w:cs="Times New Roman"/>
            <w:sz w:val="28"/>
            <w:szCs w:val="28"/>
          </w:rPr>
          <w:t>Ходатайств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51FA">
        <w:rPr>
          <w:rFonts w:ascii="Times New Roman" w:hAnsi="Times New Roman" w:cs="Times New Roman"/>
          <w:sz w:val="28"/>
          <w:szCs w:val="28"/>
        </w:rPr>
        <w:t xml:space="preserve">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 xml:space="preserve">наградами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9451FA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и Благодарностью главы администрации района в виде письма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51FA">
        <w:rPr>
          <w:rFonts w:ascii="Times New Roman" w:hAnsi="Times New Roman" w:cs="Times New Roman"/>
          <w:sz w:val="28"/>
          <w:szCs w:val="28"/>
        </w:rPr>
        <w:t>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1FA">
        <w:rPr>
          <w:rFonts w:ascii="Times New Roman" w:hAnsi="Times New Roman" w:cs="Times New Roman"/>
          <w:sz w:val="28"/>
          <w:szCs w:val="28"/>
        </w:rPr>
        <w:t xml:space="preserve"> чем за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451FA">
        <w:rPr>
          <w:rFonts w:ascii="Times New Roman" w:hAnsi="Times New Roman" w:cs="Times New Roman"/>
          <w:sz w:val="28"/>
          <w:szCs w:val="28"/>
        </w:rPr>
        <w:t>дней до предполагаемого вручения награды (поощрения).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занесении на Доску Почета направляется не позднее               1 июля.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Ходатайство о награждении (поощрении) должно содержать информацию о кандидате на награждение (поощрение), основания для награждения, контактную информацию о лице, подготовившем ходатайство (исполнителе). 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К ходатайству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района, Благодарственным письмом администрации района, поощрении о занесении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Доску Почета прилагается </w:t>
      </w:r>
      <w:r w:rsidRPr="009451FA">
        <w:rPr>
          <w:rFonts w:ascii="Times New Roman" w:hAnsi="Times New Roman" w:cs="Times New Roman"/>
          <w:sz w:val="28"/>
          <w:szCs w:val="28"/>
        </w:rPr>
        <w:t>наградной лист по форме, согласно приложению 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К ходатайств</w:t>
      </w:r>
      <w:r>
        <w:rPr>
          <w:rFonts w:ascii="Times New Roman" w:hAnsi="Times New Roman" w:cs="Times New Roman"/>
          <w:sz w:val="28"/>
          <w:szCs w:val="28"/>
        </w:rPr>
        <w:t xml:space="preserve">ам о награждении (поощрении)  физически лиц прилагается </w:t>
      </w:r>
      <w:r w:rsidRPr="009451FA">
        <w:rPr>
          <w:rFonts w:ascii="Times New Roman" w:hAnsi="Times New Roman" w:cs="Times New Roman"/>
          <w:sz w:val="28"/>
          <w:szCs w:val="28"/>
        </w:rPr>
        <w:t xml:space="preserve">заявление кандидата на награждение (поощрение) о даче согласия на обработку персональных данных в соответствии с Федеральным законом от 27.07.2006  №152-ФЗ «О персональных данных». 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1FA">
        <w:rPr>
          <w:rFonts w:ascii="Times New Roman" w:hAnsi="Times New Roman" w:cs="Times New Roman"/>
          <w:sz w:val="28"/>
          <w:szCs w:val="28"/>
        </w:rPr>
        <w:t>К ходатайств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 награждении трудовых коллективов, руководителей и заместителей руководителей организаций прилагается справка </w:t>
      </w:r>
      <w:r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Pr="009451FA">
        <w:rPr>
          <w:rFonts w:ascii="Times New Roman" w:hAnsi="Times New Roman" w:cs="Times New Roman"/>
          <w:sz w:val="28"/>
          <w:szCs w:val="28"/>
        </w:rPr>
        <w:t xml:space="preserve">о состоянии расчетов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451FA"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1FA">
        <w:rPr>
          <w:rFonts w:ascii="Times New Roman" w:hAnsi="Times New Roman" w:cs="Times New Roman"/>
          <w:sz w:val="28"/>
          <w:szCs w:val="28"/>
        </w:rPr>
        <w:t xml:space="preserve"> сборам</w:t>
      </w:r>
      <w:r>
        <w:rPr>
          <w:rFonts w:ascii="Times New Roman" w:hAnsi="Times New Roman" w:cs="Times New Roman"/>
          <w:sz w:val="28"/>
          <w:szCs w:val="28"/>
        </w:rPr>
        <w:t>, страховым взносам, пеням, штрафам, процентам за последний отчетный период,</w:t>
      </w:r>
      <w:r w:rsidRPr="009451FA">
        <w:rPr>
          <w:rFonts w:ascii="Times New Roman" w:hAnsi="Times New Roman" w:cs="Times New Roman"/>
          <w:sz w:val="28"/>
          <w:szCs w:val="28"/>
        </w:rPr>
        <w:t xml:space="preserve"> предшествующий дате направления ходатайства</w:t>
      </w:r>
      <w:r w:rsidRPr="00010363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>и справка об отсутствии просроченной задолженности по заработной плате перед работниками за последний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363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>предшествующий дате направления ходатайства</w:t>
      </w:r>
      <w:r>
        <w:rPr>
          <w:rFonts w:ascii="Times New Roman" w:hAnsi="Times New Roman" w:cs="Times New Roman"/>
          <w:sz w:val="28"/>
          <w:szCs w:val="28"/>
        </w:rPr>
        <w:t>, подписанная руководителем организации и заверенная его печатью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Инициатором ходатайства о награждении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51FA">
        <w:rPr>
          <w:rFonts w:ascii="Times New Roman" w:hAnsi="Times New Roman" w:cs="Times New Roman"/>
          <w:sz w:val="28"/>
          <w:szCs w:val="28"/>
        </w:rPr>
        <w:t>поощрении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51FA">
        <w:rPr>
          <w:rFonts w:ascii="Times New Roman" w:hAnsi="Times New Roman" w:cs="Times New Roman"/>
          <w:sz w:val="28"/>
          <w:szCs w:val="28"/>
        </w:rPr>
        <w:t xml:space="preserve"> могут выступать </w:t>
      </w:r>
      <w:r>
        <w:rPr>
          <w:rFonts w:ascii="Times New Roman" w:hAnsi="Times New Roman" w:cs="Times New Roman"/>
          <w:sz w:val="28"/>
          <w:szCs w:val="28"/>
        </w:rPr>
        <w:t xml:space="preserve">депутаты Алтайского краевого Законодательного Собрания, </w:t>
      </w:r>
      <w:proofErr w:type="spellStart"/>
      <w:r w:rsidRPr="009451FA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9451FA">
        <w:rPr>
          <w:rFonts w:ascii="Times New Roman" w:hAnsi="Times New Roman" w:cs="Times New Roman"/>
          <w:sz w:val="28"/>
          <w:szCs w:val="28"/>
        </w:rPr>
        <w:t xml:space="preserve"> городской Думы, органы местного самоуправления города, органы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района, органы администрации района, </w:t>
      </w:r>
      <w:r w:rsidRPr="009451FA">
        <w:rPr>
          <w:rFonts w:ascii="Times New Roman" w:hAnsi="Times New Roman" w:cs="Times New Roman"/>
          <w:sz w:val="28"/>
          <w:szCs w:val="28"/>
        </w:rPr>
        <w:t>юридические лица независимо от форм собственности.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51FA">
        <w:rPr>
          <w:rFonts w:ascii="Times New Roman" w:hAnsi="Times New Roman" w:cs="Times New Roman"/>
          <w:sz w:val="28"/>
          <w:szCs w:val="28"/>
        </w:rPr>
        <w:t>поощрении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9451FA">
        <w:rPr>
          <w:rFonts w:ascii="Times New Roman" w:hAnsi="Times New Roman" w:cs="Times New Roman"/>
          <w:sz w:val="28"/>
          <w:szCs w:val="28"/>
        </w:rPr>
        <w:t xml:space="preserve">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 по наградам 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постановлением администрации 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F6C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Решение о награждении (поощрении) принимается главой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>, учитывая рекомендации комиссии.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Решение о награждении (поощрении) принимается в виде постановления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451FA">
        <w:rPr>
          <w:rFonts w:ascii="Times New Roman" w:hAnsi="Times New Roman" w:cs="Times New Roman"/>
          <w:sz w:val="28"/>
          <w:szCs w:val="28"/>
        </w:rPr>
        <w:t>.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Подготовка проектов постановлений о награждении </w:t>
      </w:r>
      <w:r>
        <w:rPr>
          <w:rFonts w:ascii="Times New Roman" w:hAnsi="Times New Roman" w:cs="Times New Roman"/>
          <w:sz w:val="28"/>
          <w:szCs w:val="28"/>
        </w:rPr>
        <w:t>(поощрении)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 - хозяйственным отделом администрации района. 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6C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Изготовление наград (поощрений)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 xml:space="preserve">осуществляется административно-хозяйственным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451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>.</w:t>
      </w:r>
    </w:p>
    <w:p w:rsidR="00AA7F6C" w:rsidRPr="009451FA" w:rsidRDefault="00AA7F6C" w:rsidP="00AA7F6C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 Почета возлагается на административно - хозяйственный отдел администрации района.</w:t>
      </w:r>
    </w:p>
    <w:p w:rsidR="00AA7F6C" w:rsidRDefault="00AA7F6C" w:rsidP="00AA7F6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9451FA">
        <w:rPr>
          <w:szCs w:val="28"/>
        </w:rPr>
        <w:t>В удовлетворении ходатайств о награждении (поощрении) отказывается в случае невыполнения (нарушения) требований, установленных пунктами 4-</w:t>
      </w:r>
      <w:r>
        <w:rPr>
          <w:szCs w:val="28"/>
        </w:rPr>
        <w:t>9, 12, 20</w:t>
      </w:r>
      <w:r w:rsidRPr="009451FA">
        <w:rPr>
          <w:szCs w:val="28"/>
        </w:rPr>
        <w:t xml:space="preserve"> Положения. </w:t>
      </w:r>
      <w:r>
        <w:rPr>
          <w:szCs w:val="28"/>
        </w:rPr>
        <w:t>В случае  отказа в удовлетворении ходатайств инициатор ходатайства информируется в течение 15 дней со дня рассмотрения ходатайства.</w:t>
      </w:r>
    </w:p>
    <w:p w:rsidR="00AA7F6C" w:rsidRPr="009451FA" w:rsidRDefault="00AA7F6C" w:rsidP="00AA7F6C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Награждение граждан и </w:t>
      </w:r>
      <w:r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наградой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451FA">
        <w:rPr>
          <w:rFonts w:ascii="Times New Roman" w:hAnsi="Times New Roman" w:cs="Times New Roman"/>
          <w:sz w:val="28"/>
          <w:szCs w:val="28"/>
        </w:rPr>
        <w:t xml:space="preserve"> возможно не ранее чем через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наградой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5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Поощрение граждан и трудовых коллективов поощрениями администрации района повторно возможно независимо от срока предыдущего награждения (поощрения).</w:t>
      </w:r>
    </w:p>
    <w:p w:rsidR="00AA7F6C" w:rsidRDefault="00AA7F6C" w:rsidP="00AA7F6C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8"/>
        </w:rPr>
      </w:pPr>
      <w:r w:rsidRPr="009451FA">
        <w:rPr>
          <w:szCs w:val="28"/>
        </w:rPr>
        <w:lastRenderedPageBreak/>
        <w:t xml:space="preserve">Вручение наград и поощрений администрации </w:t>
      </w:r>
      <w:r>
        <w:rPr>
          <w:szCs w:val="28"/>
        </w:rPr>
        <w:t xml:space="preserve">района </w:t>
      </w:r>
      <w:r w:rsidRPr="009451FA">
        <w:rPr>
          <w:szCs w:val="28"/>
        </w:rPr>
        <w:t xml:space="preserve">производится в торжественной обстановке главой </w:t>
      </w:r>
      <w:r>
        <w:rPr>
          <w:szCs w:val="28"/>
        </w:rPr>
        <w:t>района</w:t>
      </w:r>
      <w:r w:rsidRPr="009451FA">
        <w:rPr>
          <w:szCs w:val="28"/>
        </w:rPr>
        <w:t xml:space="preserve"> либо уполномоченным им лицом.</w:t>
      </w: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>Чествование граждан и трудовых коллективов, занесенных на Доску Почета, осуществляется на мероприятии, посвященном празднованию Дня города.</w:t>
      </w: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7F6C" w:rsidRDefault="00AA7F6C" w:rsidP="00AA7F6C">
      <w:pPr>
        <w:tabs>
          <w:tab w:val="left" w:pos="851"/>
        </w:tabs>
        <w:ind w:firstLine="426"/>
        <w:jc w:val="both"/>
        <w:rPr>
          <w:szCs w:val="28"/>
        </w:rPr>
      </w:pPr>
    </w:p>
    <w:p w:rsidR="00AA5A01" w:rsidRDefault="00AA5A01"/>
    <w:sectPr w:rsidR="00AA5A01" w:rsidSect="00A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D7D"/>
    <w:multiLevelType w:val="hybridMultilevel"/>
    <w:tmpl w:val="B1720D00"/>
    <w:lvl w:ilvl="0" w:tplc="05085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A7F6C"/>
    <w:rsid w:val="004A0066"/>
    <w:rsid w:val="00795B51"/>
    <w:rsid w:val="00AA5A01"/>
    <w:rsid w:val="00AA7F6C"/>
    <w:rsid w:val="00EF2988"/>
    <w:rsid w:val="00E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2019-10-02T09:04:00Z</dcterms:created>
  <dcterms:modified xsi:type="dcterms:W3CDTF">2019-10-02T09:04:00Z</dcterms:modified>
</cp:coreProperties>
</file>