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50" w:rsidRPr="00850E50" w:rsidRDefault="00843A70" w:rsidP="00DD7E51">
      <w:pPr>
        <w:keepNext/>
        <w:jc w:val="right"/>
        <w:rPr>
          <w:sz w:val="28"/>
          <w:szCs w:val="28"/>
        </w:rPr>
      </w:pPr>
      <w:r w:rsidRPr="00850E50">
        <w:rPr>
          <w:sz w:val="28"/>
          <w:szCs w:val="28"/>
        </w:rPr>
        <w:t xml:space="preserve">            Приложение </w:t>
      </w:r>
      <w:r w:rsidR="00AF0E6D" w:rsidRPr="00850E50">
        <w:rPr>
          <w:sz w:val="28"/>
          <w:szCs w:val="28"/>
        </w:rPr>
        <w:t>1</w:t>
      </w:r>
    </w:p>
    <w:p w:rsidR="00810B31" w:rsidRPr="00850E50" w:rsidRDefault="00810B31" w:rsidP="00DD7E51">
      <w:pPr>
        <w:keepNext/>
        <w:jc w:val="right"/>
        <w:rPr>
          <w:sz w:val="28"/>
          <w:szCs w:val="28"/>
        </w:rPr>
      </w:pPr>
    </w:p>
    <w:p w:rsidR="001118F3" w:rsidRPr="00850E50" w:rsidRDefault="001118F3" w:rsidP="00DD7E51">
      <w:pPr>
        <w:keepNext/>
        <w:jc w:val="right"/>
        <w:rPr>
          <w:sz w:val="28"/>
          <w:szCs w:val="28"/>
        </w:rPr>
      </w:pPr>
    </w:p>
    <w:p w:rsidR="00B931F7" w:rsidRPr="00850E50" w:rsidRDefault="00DD7E51" w:rsidP="00B931F7">
      <w:pPr>
        <w:keepNext/>
        <w:jc w:val="center"/>
        <w:rPr>
          <w:sz w:val="28"/>
          <w:szCs w:val="28"/>
        </w:rPr>
      </w:pPr>
      <w:r w:rsidRPr="00850E50">
        <w:rPr>
          <w:sz w:val="28"/>
          <w:szCs w:val="28"/>
        </w:rPr>
        <w:t xml:space="preserve">Выполнение индикаторов Стратегии социально-экономического развития города Барнаула </w:t>
      </w:r>
      <w:r w:rsidR="00810B31" w:rsidRPr="00850E50">
        <w:rPr>
          <w:sz w:val="28"/>
          <w:szCs w:val="28"/>
        </w:rPr>
        <w:t>до 2025 года по итогам реализации первого этапа</w:t>
      </w:r>
    </w:p>
    <w:p w:rsidR="00B931F7" w:rsidRDefault="00B931F7" w:rsidP="000C0426">
      <w:pPr>
        <w:keepNext/>
        <w:rPr>
          <w:sz w:val="16"/>
          <w:szCs w:val="16"/>
        </w:rPr>
      </w:pPr>
    </w:p>
    <w:p w:rsidR="001118F3" w:rsidRDefault="001118F3" w:rsidP="000C0426">
      <w:pPr>
        <w:keepNext/>
        <w:rPr>
          <w:sz w:val="16"/>
          <w:szCs w:val="16"/>
        </w:rPr>
      </w:pPr>
    </w:p>
    <w:tbl>
      <w:tblPr>
        <w:tblW w:w="152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387"/>
        <w:gridCol w:w="1134"/>
        <w:gridCol w:w="1134"/>
        <w:gridCol w:w="1276"/>
        <w:gridCol w:w="1275"/>
        <w:gridCol w:w="1134"/>
        <w:gridCol w:w="1134"/>
        <w:gridCol w:w="1134"/>
        <w:gridCol w:w="1038"/>
      </w:tblGrid>
      <w:tr w:rsidR="000A66F3" w:rsidRPr="001118F3" w:rsidTr="005651F9">
        <w:trPr>
          <w:trHeight w:val="218"/>
          <w:tblHeader/>
        </w:trPr>
        <w:tc>
          <w:tcPr>
            <w:tcW w:w="567" w:type="dxa"/>
            <w:vMerge w:val="restart"/>
          </w:tcPr>
          <w:p w:rsidR="000A66F3" w:rsidRPr="001118F3" w:rsidRDefault="000A66F3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 xml:space="preserve">№ </w:t>
            </w:r>
            <w:proofErr w:type="spellStart"/>
            <w:proofErr w:type="gramStart"/>
            <w:r w:rsidRPr="001118F3">
              <w:rPr>
                <w:szCs w:val="24"/>
              </w:rPr>
              <w:t>п</w:t>
            </w:r>
            <w:proofErr w:type="spellEnd"/>
            <w:proofErr w:type="gramEnd"/>
            <w:r w:rsidRPr="001118F3">
              <w:rPr>
                <w:szCs w:val="24"/>
              </w:rPr>
              <w:t>/</w:t>
            </w:r>
            <w:proofErr w:type="spellStart"/>
            <w:r w:rsidRPr="001118F3">
              <w:rPr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  <w:shd w:val="clear" w:color="auto" w:fill="auto"/>
          </w:tcPr>
          <w:p w:rsidR="000A66F3" w:rsidRPr="001118F3" w:rsidRDefault="000A66F3" w:rsidP="007B7DC5">
            <w:pPr>
              <w:keepNext/>
              <w:jc w:val="center"/>
              <w:rPr>
                <w:szCs w:val="24"/>
              </w:rPr>
            </w:pPr>
          </w:p>
          <w:p w:rsidR="000A66F3" w:rsidRPr="001118F3" w:rsidRDefault="000A66F3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Наименование индикатора</w:t>
            </w:r>
          </w:p>
        </w:tc>
        <w:tc>
          <w:tcPr>
            <w:tcW w:w="1134" w:type="dxa"/>
            <w:vMerge w:val="restart"/>
            <w:vAlign w:val="center"/>
          </w:tcPr>
          <w:p w:rsidR="000A66F3" w:rsidRPr="001118F3" w:rsidRDefault="000A66F3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Базовый период</w:t>
            </w:r>
          </w:p>
        </w:tc>
        <w:tc>
          <w:tcPr>
            <w:tcW w:w="5953" w:type="dxa"/>
            <w:gridSpan w:val="5"/>
            <w:vMerge w:val="restart"/>
            <w:vAlign w:val="center"/>
          </w:tcPr>
          <w:p w:rsidR="000A66F3" w:rsidRPr="001118F3" w:rsidRDefault="000A66F3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Факт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:rsidR="000A66F3" w:rsidRPr="001118F3" w:rsidRDefault="000A66F3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План</w:t>
            </w:r>
          </w:p>
        </w:tc>
      </w:tr>
      <w:tr w:rsidR="000A66F3" w:rsidRPr="001118F3" w:rsidTr="005651F9">
        <w:trPr>
          <w:trHeight w:val="264"/>
          <w:tblHeader/>
        </w:trPr>
        <w:tc>
          <w:tcPr>
            <w:tcW w:w="567" w:type="dxa"/>
            <w:vMerge/>
          </w:tcPr>
          <w:p w:rsidR="000A66F3" w:rsidRPr="001118F3" w:rsidRDefault="000A66F3" w:rsidP="007B7DC5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0A66F3" w:rsidRPr="001118F3" w:rsidRDefault="000A66F3" w:rsidP="007B7DC5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A66F3" w:rsidRPr="001118F3" w:rsidRDefault="000A66F3" w:rsidP="007B7DC5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5953" w:type="dxa"/>
            <w:gridSpan w:val="5"/>
            <w:vMerge/>
            <w:shd w:val="clear" w:color="auto" w:fill="auto"/>
            <w:vAlign w:val="center"/>
          </w:tcPr>
          <w:p w:rsidR="000A66F3" w:rsidRPr="001118F3" w:rsidRDefault="000A66F3" w:rsidP="007B7DC5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66F3" w:rsidRPr="001118F3" w:rsidRDefault="000A66F3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  <w:lang w:val="en-US"/>
              </w:rPr>
              <w:t xml:space="preserve">I </w:t>
            </w:r>
            <w:r w:rsidRPr="001118F3">
              <w:rPr>
                <w:szCs w:val="24"/>
              </w:rPr>
              <w:t>этап</w:t>
            </w:r>
          </w:p>
        </w:tc>
        <w:tc>
          <w:tcPr>
            <w:tcW w:w="1038" w:type="dxa"/>
            <w:vAlign w:val="center"/>
          </w:tcPr>
          <w:p w:rsidR="000A66F3" w:rsidRPr="001118F3" w:rsidRDefault="000A66F3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  <w:lang w:val="en-US"/>
              </w:rPr>
              <w:t xml:space="preserve">II </w:t>
            </w:r>
            <w:r w:rsidRPr="001118F3">
              <w:rPr>
                <w:szCs w:val="24"/>
              </w:rPr>
              <w:t>этап</w:t>
            </w:r>
            <w:r w:rsidR="009718FD">
              <w:rPr>
                <w:rStyle w:val="ab"/>
                <w:szCs w:val="24"/>
              </w:rPr>
              <w:footnoteReference w:id="1"/>
            </w:r>
          </w:p>
        </w:tc>
      </w:tr>
      <w:tr w:rsidR="002C6F7F" w:rsidRPr="001118F3" w:rsidTr="005651F9">
        <w:trPr>
          <w:trHeight w:val="197"/>
          <w:tblHeader/>
        </w:trPr>
        <w:tc>
          <w:tcPr>
            <w:tcW w:w="567" w:type="dxa"/>
            <w:vMerge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2012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2013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2014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2015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2016 г.</w:t>
            </w:r>
          </w:p>
        </w:tc>
        <w:tc>
          <w:tcPr>
            <w:tcW w:w="1134" w:type="dxa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2017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2017 г.</w:t>
            </w:r>
          </w:p>
        </w:tc>
        <w:tc>
          <w:tcPr>
            <w:tcW w:w="1038" w:type="dxa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2025 г.</w:t>
            </w:r>
          </w:p>
        </w:tc>
      </w:tr>
      <w:tr w:rsidR="001A6D16" w:rsidRPr="001118F3" w:rsidTr="00CF37B6">
        <w:trPr>
          <w:trHeight w:val="178"/>
        </w:trPr>
        <w:tc>
          <w:tcPr>
            <w:tcW w:w="15213" w:type="dxa"/>
            <w:gridSpan w:val="10"/>
          </w:tcPr>
          <w:p w:rsidR="001A6D16" w:rsidRPr="001118F3" w:rsidRDefault="001A6D16" w:rsidP="00D45076">
            <w:pPr>
              <w:keepNext/>
              <w:jc w:val="center"/>
              <w:rPr>
                <w:iCs/>
                <w:szCs w:val="24"/>
              </w:rPr>
            </w:pPr>
            <w:r w:rsidRPr="001118F3">
              <w:rPr>
                <w:iCs/>
                <w:szCs w:val="24"/>
              </w:rPr>
              <w:t xml:space="preserve">Достигнуты целевые значения 2025 года </w:t>
            </w:r>
          </w:p>
        </w:tc>
      </w:tr>
      <w:tr w:rsidR="002C6F7F" w:rsidRPr="001118F3" w:rsidTr="005651F9">
        <w:trPr>
          <w:trHeight w:val="178"/>
        </w:trPr>
        <w:tc>
          <w:tcPr>
            <w:tcW w:w="567" w:type="dxa"/>
          </w:tcPr>
          <w:p w:rsidR="002C6F7F" w:rsidRPr="001118F3" w:rsidRDefault="002C6F7F" w:rsidP="003D463D">
            <w:pPr>
              <w:keepNext/>
              <w:rPr>
                <w:iCs/>
                <w:szCs w:val="24"/>
              </w:rPr>
            </w:pPr>
            <w:r w:rsidRPr="001118F3">
              <w:rPr>
                <w:iCs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2C6F7F" w:rsidRPr="00413DE0" w:rsidRDefault="002C6F7F" w:rsidP="003D463D">
            <w:pPr>
              <w:keepNext/>
              <w:rPr>
                <w:iCs/>
                <w:szCs w:val="24"/>
              </w:rPr>
            </w:pPr>
            <w:r w:rsidRPr="00413DE0">
              <w:rPr>
                <w:iCs/>
                <w:szCs w:val="24"/>
              </w:rPr>
              <w:t xml:space="preserve">Обеспеченность населения </w:t>
            </w:r>
            <w:r w:rsidR="00F57306">
              <w:rPr>
                <w:iCs/>
                <w:szCs w:val="24"/>
              </w:rPr>
              <w:t>площадью торговых объектов, кв.</w:t>
            </w:r>
            <w:r w:rsidRPr="00413DE0">
              <w:rPr>
                <w:iCs/>
                <w:szCs w:val="24"/>
              </w:rPr>
              <w:t>м на 1000 человек населения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413DE0" w:rsidRDefault="002C6F7F" w:rsidP="003D463D">
            <w:pPr>
              <w:keepNext/>
              <w:jc w:val="center"/>
              <w:rPr>
                <w:iCs/>
                <w:szCs w:val="24"/>
              </w:rPr>
            </w:pPr>
            <w:r w:rsidRPr="00413DE0">
              <w:rPr>
                <w:iCs/>
                <w:szCs w:val="24"/>
              </w:rPr>
              <w:t>790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413DE0" w:rsidRDefault="002C6F7F" w:rsidP="003D463D">
            <w:pPr>
              <w:keepNext/>
              <w:jc w:val="center"/>
              <w:rPr>
                <w:iCs/>
                <w:szCs w:val="24"/>
              </w:rPr>
            </w:pPr>
            <w:r w:rsidRPr="00413DE0">
              <w:rPr>
                <w:iCs/>
                <w:szCs w:val="24"/>
              </w:rPr>
              <w:t>814,2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413DE0" w:rsidRDefault="00146885" w:rsidP="003D463D">
            <w:pPr>
              <w:keepNext/>
              <w:jc w:val="center"/>
              <w:rPr>
                <w:iCs/>
                <w:szCs w:val="24"/>
              </w:rPr>
            </w:pPr>
            <w:r w:rsidRPr="00413DE0">
              <w:rPr>
                <w:iCs/>
                <w:szCs w:val="24"/>
              </w:rPr>
              <w:t>911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413DE0" w:rsidRDefault="002C6F7F" w:rsidP="003D463D">
            <w:pPr>
              <w:keepNext/>
              <w:jc w:val="center"/>
              <w:rPr>
                <w:iCs/>
                <w:szCs w:val="24"/>
              </w:rPr>
            </w:pPr>
            <w:r w:rsidRPr="00413DE0">
              <w:rPr>
                <w:iCs/>
                <w:szCs w:val="24"/>
              </w:rPr>
              <w:t>1112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413DE0" w:rsidRDefault="002C6F7F" w:rsidP="003D463D">
            <w:pPr>
              <w:keepNext/>
              <w:jc w:val="center"/>
              <w:rPr>
                <w:iCs/>
                <w:szCs w:val="24"/>
              </w:rPr>
            </w:pPr>
            <w:r w:rsidRPr="00413DE0">
              <w:rPr>
                <w:iCs/>
                <w:szCs w:val="24"/>
              </w:rPr>
              <w:t>1180</w:t>
            </w:r>
            <w:r w:rsidR="00146885" w:rsidRPr="00413DE0">
              <w:rPr>
                <w:iCs/>
                <w:szCs w:val="24"/>
              </w:rPr>
              <w:t>,6</w:t>
            </w:r>
          </w:p>
        </w:tc>
        <w:tc>
          <w:tcPr>
            <w:tcW w:w="1134" w:type="dxa"/>
            <w:vAlign w:val="center"/>
          </w:tcPr>
          <w:p w:rsidR="002C6F7F" w:rsidRPr="00413DE0" w:rsidRDefault="002C6F7F" w:rsidP="003D463D">
            <w:pPr>
              <w:keepNext/>
              <w:jc w:val="center"/>
              <w:rPr>
                <w:iCs/>
                <w:szCs w:val="24"/>
              </w:rPr>
            </w:pPr>
            <w:r w:rsidRPr="00413DE0">
              <w:rPr>
                <w:iCs/>
                <w:szCs w:val="24"/>
              </w:rPr>
              <w:t>1308</w:t>
            </w:r>
            <w:r w:rsidR="00146885" w:rsidRPr="00413DE0">
              <w:rPr>
                <w:iCs/>
                <w:szCs w:val="24"/>
              </w:rPr>
              <w:t>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iCs/>
                <w:szCs w:val="24"/>
              </w:rPr>
            </w:pPr>
            <w:r w:rsidRPr="001118F3">
              <w:rPr>
                <w:iCs/>
                <w:szCs w:val="24"/>
              </w:rPr>
              <w:t>960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iCs/>
                <w:szCs w:val="24"/>
              </w:rPr>
            </w:pPr>
            <w:r w:rsidRPr="001118F3">
              <w:rPr>
                <w:iCs/>
                <w:szCs w:val="24"/>
              </w:rPr>
              <w:t>1000</w:t>
            </w:r>
          </w:p>
        </w:tc>
      </w:tr>
      <w:tr w:rsidR="002C6F7F" w:rsidRPr="001118F3" w:rsidTr="005651F9">
        <w:trPr>
          <w:trHeight w:val="178"/>
        </w:trPr>
        <w:tc>
          <w:tcPr>
            <w:tcW w:w="567" w:type="dxa"/>
          </w:tcPr>
          <w:p w:rsidR="002C6F7F" w:rsidRPr="001118F3" w:rsidRDefault="002C6F7F" w:rsidP="003D463D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2C6F7F" w:rsidRPr="001118F3" w:rsidRDefault="002C6F7F" w:rsidP="003D463D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Охват детей дошкольного возраста всеми формами дошкольного образования,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83,3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83,4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83,5</w:t>
            </w:r>
          </w:p>
        </w:tc>
        <w:tc>
          <w:tcPr>
            <w:tcW w:w="1134" w:type="dxa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83,6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77,6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78,3</w:t>
            </w:r>
          </w:p>
        </w:tc>
      </w:tr>
      <w:tr w:rsidR="002C6F7F" w:rsidRPr="001118F3" w:rsidTr="005651F9">
        <w:trPr>
          <w:trHeight w:val="178"/>
        </w:trPr>
        <w:tc>
          <w:tcPr>
            <w:tcW w:w="567" w:type="dxa"/>
          </w:tcPr>
          <w:p w:rsidR="002C6F7F" w:rsidRPr="001118F3" w:rsidRDefault="002C6F7F" w:rsidP="003D463D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2C6F7F" w:rsidRPr="001118F3" w:rsidRDefault="002C6F7F" w:rsidP="003D463D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Доля школ, оборудованных устройствами для обучения лиц с ограниченными возможностями здоровья,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</w:t>
            </w:r>
            <w:r w:rsidR="00253B82">
              <w:rPr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20</w:t>
            </w:r>
            <w:r w:rsidR="00253B82">
              <w:rPr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21</w:t>
            </w:r>
            <w:r w:rsidR="00253B82">
              <w:rPr>
                <w:szCs w:val="24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23,2</w:t>
            </w:r>
          </w:p>
        </w:tc>
        <w:tc>
          <w:tcPr>
            <w:tcW w:w="1134" w:type="dxa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20</w:t>
            </w:r>
            <w:r w:rsidR="00253B82">
              <w:rPr>
                <w:szCs w:val="24"/>
              </w:rPr>
              <w:t>,0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25</w:t>
            </w:r>
            <w:r w:rsidR="00253B82">
              <w:rPr>
                <w:szCs w:val="24"/>
              </w:rPr>
              <w:t>,0</w:t>
            </w:r>
          </w:p>
        </w:tc>
      </w:tr>
      <w:tr w:rsidR="002C6F7F" w:rsidRPr="001118F3" w:rsidTr="005651F9">
        <w:trPr>
          <w:trHeight w:val="178"/>
        </w:trPr>
        <w:tc>
          <w:tcPr>
            <w:tcW w:w="567" w:type="dxa"/>
          </w:tcPr>
          <w:p w:rsidR="002C6F7F" w:rsidRPr="001118F3" w:rsidRDefault="002C6F7F" w:rsidP="003D463D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2C6F7F" w:rsidRDefault="002C6F7F" w:rsidP="003D463D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Обеспеченность энергоэффективными  светильниками сетей наружного освещения, %</w:t>
            </w:r>
          </w:p>
          <w:p w:rsidR="00047B8B" w:rsidRPr="001118F3" w:rsidRDefault="00047B8B" w:rsidP="003D463D">
            <w:pPr>
              <w:keepNext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84,9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92,28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100</w:t>
            </w:r>
            <w:r w:rsidR="00677D03">
              <w:rPr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98,4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100</w:t>
            </w:r>
            <w:r w:rsidR="00677D03">
              <w:rPr>
                <w:szCs w:val="24"/>
              </w:rPr>
              <w:t>,0</w:t>
            </w:r>
          </w:p>
        </w:tc>
      </w:tr>
      <w:tr w:rsidR="001A6D16" w:rsidRPr="001118F3" w:rsidTr="00DA6971">
        <w:trPr>
          <w:trHeight w:val="146"/>
        </w:trPr>
        <w:tc>
          <w:tcPr>
            <w:tcW w:w="15213" w:type="dxa"/>
            <w:gridSpan w:val="10"/>
          </w:tcPr>
          <w:p w:rsidR="001A6D16" w:rsidRPr="001118F3" w:rsidRDefault="001A6D16" w:rsidP="00D45076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Достигнуты целевые значения 2017 года</w:t>
            </w:r>
          </w:p>
        </w:tc>
      </w:tr>
      <w:tr w:rsidR="002C6F7F" w:rsidRPr="001118F3" w:rsidTr="005651F9">
        <w:trPr>
          <w:trHeight w:val="109"/>
        </w:trPr>
        <w:tc>
          <w:tcPr>
            <w:tcW w:w="567" w:type="dxa"/>
          </w:tcPr>
          <w:p w:rsidR="002C6F7F" w:rsidRPr="001118F3" w:rsidRDefault="002C6F7F" w:rsidP="007B7DC5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2C6F7F" w:rsidRPr="001118F3" w:rsidRDefault="002C6F7F" w:rsidP="007B7DC5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Удельный вес поступлений в доходах бюджета города от субъектов малого и среднего предпринимательства,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41,9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41,3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43,4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42,3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43,6</w:t>
            </w:r>
          </w:p>
        </w:tc>
        <w:tc>
          <w:tcPr>
            <w:tcW w:w="1134" w:type="dxa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44,2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43,6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55,2</w:t>
            </w:r>
          </w:p>
        </w:tc>
      </w:tr>
      <w:tr w:rsidR="002C6F7F" w:rsidRPr="001118F3" w:rsidTr="005651F9">
        <w:trPr>
          <w:trHeight w:val="109"/>
        </w:trPr>
        <w:tc>
          <w:tcPr>
            <w:tcW w:w="567" w:type="dxa"/>
          </w:tcPr>
          <w:p w:rsidR="002C6F7F" w:rsidRPr="001118F3" w:rsidRDefault="002C6F7F" w:rsidP="007B7DC5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2C6F7F" w:rsidRPr="001118F3" w:rsidRDefault="002C6F7F" w:rsidP="004A4414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Уровень инновационной активности,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4A441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4A441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1118F3" w:rsidRDefault="002C6F7F" w:rsidP="004A441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1118F3" w:rsidRDefault="002C6F7F" w:rsidP="004A441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4A441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20,7</w:t>
            </w:r>
          </w:p>
        </w:tc>
        <w:tc>
          <w:tcPr>
            <w:tcW w:w="1134" w:type="dxa"/>
            <w:vAlign w:val="center"/>
          </w:tcPr>
          <w:p w:rsidR="002C6F7F" w:rsidRPr="001118F3" w:rsidRDefault="002C6F7F" w:rsidP="004A441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4A441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23</w:t>
            </w:r>
            <w:r w:rsidR="00253B82">
              <w:rPr>
                <w:szCs w:val="24"/>
              </w:rPr>
              <w:t>,0</w:t>
            </w:r>
          </w:p>
        </w:tc>
        <w:tc>
          <w:tcPr>
            <w:tcW w:w="1038" w:type="dxa"/>
            <w:vAlign w:val="center"/>
          </w:tcPr>
          <w:p w:rsidR="002C6F7F" w:rsidRPr="001118F3" w:rsidRDefault="002C6F7F" w:rsidP="004A441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35</w:t>
            </w:r>
            <w:r w:rsidR="00253B82">
              <w:rPr>
                <w:szCs w:val="24"/>
              </w:rPr>
              <w:t>,0</w:t>
            </w:r>
          </w:p>
        </w:tc>
      </w:tr>
      <w:tr w:rsidR="002C6F7F" w:rsidRPr="001118F3" w:rsidTr="005651F9">
        <w:trPr>
          <w:trHeight w:val="109"/>
        </w:trPr>
        <w:tc>
          <w:tcPr>
            <w:tcW w:w="567" w:type="dxa"/>
          </w:tcPr>
          <w:p w:rsidR="002C6F7F" w:rsidRPr="001118F3" w:rsidRDefault="002C6F7F" w:rsidP="007B7DC5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2C6F7F" w:rsidRPr="001118F3" w:rsidRDefault="002C6F7F" w:rsidP="003D463D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 xml:space="preserve">Объем платных услуг на душу населения, </w:t>
            </w:r>
            <w:r w:rsidR="00BA3854">
              <w:rPr>
                <w:szCs w:val="24"/>
              </w:rPr>
              <w:br/>
            </w:r>
            <w:r w:rsidRPr="001118F3">
              <w:rPr>
                <w:szCs w:val="24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55,8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tabs>
                <w:tab w:val="left" w:pos="353"/>
                <w:tab w:val="center" w:pos="600"/>
              </w:tabs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60,4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tabs>
                <w:tab w:val="left" w:pos="353"/>
                <w:tab w:val="center" w:pos="600"/>
              </w:tabs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65,2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tabs>
                <w:tab w:val="left" w:pos="353"/>
                <w:tab w:val="center" w:pos="600"/>
              </w:tabs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68,4</w:t>
            </w:r>
          </w:p>
        </w:tc>
        <w:tc>
          <w:tcPr>
            <w:tcW w:w="1134" w:type="dxa"/>
            <w:vAlign w:val="center"/>
          </w:tcPr>
          <w:p w:rsidR="002C6F7F" w:rsidRPr="001118F3" w:rsidRDefault="002C6F7F" w:rsidP="003D463D">
            <w:pPr>
              <w:keepNext/>
              <w:tabs>
                <w:tab w:val="left" w:pos="353"/>
                <w:tab w:val="center" w:pos="600"/>
              </w:tabs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tabs>
                <w:tab w:val="left" w:pos="353"/>
                <w:tab w:val="center" w:pos="600"/>
              </w:tabs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70,6</w:t>
            </w:r>
          </w:p>
        </w:tc>
        <w:tc>
          <w:tcPr>
            <w:tcW w:w="1038" w:type="dxa"/>
            <w:vAlign w:val="center"/>
          </w:tcPr>
          <w:p w:rsidR="002C6F7F" w:rsidRPr="001118F3" w:rsidRDefault="002C6F7F" w:rsidP="003D463D">
            <w:pPr>
              <w:keepNext/>
              <w:tabs>
                <w:tab w:val="left" w:pos="353"/>
                <w:tab w:val="center" w:pos="600"/>
              </w:tabs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117</w:t>
            </w:r>
          </w:p>
        </w:tc>
      </w:tr>
      <w:tr w:rsidR="002C6F7F" w:rsidRPr="001118F3" w:rsidTr="005651F9">
        <w:trPr>
          <w:trHeight w:val="109"/>
        </w:trPr>
        <w:tc>
          <w:tcPr>
            <w:tcW w:w="567" w:type="dxa"/>
          </w:tcPr>
          <w:p w:rsidR="002C6F7F" w:rsidRPr="001118F3" w:rsidRDefault="002C6F7F" w:rsidP="007B7DC5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2C6F7F" w:rsidRDefault="002C6F7F" w:rsidP="00E17799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Перевод муниципальных услуг в электронный вид, %</w:t>
            </w:r>
          </w:p>
          <w:p w:rsidR="00047B8B" w:rsidRPr="001118F3" w:rsidRDefault="00047B8B" w:rsidP="00E17799">
            <w:pPr>
              <w:keepNext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E17799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27</w:t>
            </w:r>
            <w:r w:rsidR="00253B82">
              <w:rPr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E17799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68</w:t>
            </w:r>
            <w:r w:rsidR="00253B82">
              <w:rPr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1118F3" w:rsidRDefault="002C6F7F" w:rsidP="00E17799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100</w:t>
            </w:r>
            <w:r w:rsidR="00253B82">
              <w:rPr>
                <w:szCs w:val="24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1118F3" w:rsidRDefault="002C6F7F" w:rsidP="00E17799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100</w:t>
            </w:r>
            <w:r w:rsidR="00253B82">
              <w:rPr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E17799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100</w:t>
            </w:r>
            <w:r w:rsidR="00253B82">
              <w:rPr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2C6F7F" w:rsidRPr="001118F3" w:rsidRDefault="002C6F7F" w:rsidP="00E17799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100</w:t>
            </w:r>
            <w:r w:rsidR="00253B82">
              <w:rPr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E17799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100</w:t>
            </w:r>
            <w:r w:rsidR="00253B82">
              <w:rPr>
                <w:szCs w:val="24"/>
              </w:rPr>
              <w:t>,0</w:t>
            </w:r>
          </w:p>
        </w:tc>
        <w:tc>
          <w:tcPr>
            <w:tcW w:w="1038" w:type="dxa"/>
            <w:vAlign w:val="center"/>
          </w:tcPr>
          <w:p w:rsidR="002C6F7F" w:rsidRPr="001118F3" w:rsidRDefault="002C6F7F" w:rsidP="00E17799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100</w:t>
            </w:r>
            <w:r w:rsidR="00253B82">
              <w:rPr>
                <w:szCs w:val="24"/>
              </w:rPr>
              <w:t>,0</w:t>
            </w:r>
          </w:p>
        </w:tc>
      </w:tr>
      <w:tr w:rsidR="002C6F7F" w:rsidRPr="001118F3" w:rsidTr="005651F9">
        <w:trPr>
          <w:trHeight w:val="109"/>
        </w:trPr>
        <w:tc>
          <w:tcPr>
            <w:tcW w:w="567" w:type="dxa"/>
          </w:tcPr>
          <w:p w:rsidR="002C6F7F" w:rsidRPr="001118F3" w:rsidRDefault="002C6F7F" w:rsidP="007B7DC5">
            <w:pPr>
              <w:pStyle w:val="a3"/>
              <w:keepNext/>
              <w:spacing w:before="0" w:beforeAutospacing="0" w:after="0" w:afterAutospacing="0"/>
            </w:pPr>
            <w:r w:rsidRPr="001118F3">
              <w:lastRenderedPageBreak/>
              <w:t>5.</w:t>
            </w:r>
          </w:p>
        </w:tc>
        <w:tc>
          <w:tcPr>
            <w:tcW w:w="5387" w:type="dxa"/>
            <w:shd w:val="clear" w:color="auto" w:fill="auto"/>
          </w:tcPr>
          <w:p w:rsidR="002C6F7F" w:rsidRPr="001118F3" w:rsidRDefault="002C6F7F" w:rsidP="007B7DC5">
            <w:pPr>
              <w:pStyle w:val="a3"/>
              <w:keepNext/>
              <w:spacing w:before="0" w:beforeAutospacing="0" w:after="0" w:afterAutospacing="0"/>
            </w:pPr>
            <w:r w:rsidRPr="001118F3">
              <w:t>Доля граждан, использующих механизм получения государственных и муниципальных услуг в электронной форме,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</w:t>
            </w:r>
            <w:r w:rsidR="00253B82">
              <w:rPr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5</w:t>
            </w:r>
            <w:r w:rsidR="00253B82">
              <w:rPr>
                <w:szCs w:val="24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413DE0" w:rsidRDefault="002C6F7F" w:rsidP="007C4DB8">
            <w:pPr>
              <w:keepNext/>
              <w:jc w:val="center"/>
              <w:rPr>
                <w:szCs w:val="24"/>
              </w:rPr>
            </w:pPr>
            <w:r w:rsidRPr="00413DE0">
              <w:rPr>
                <w:szCs w:val="24"/>
              </w:rPr>
              <w:t>16</w:t>
            </w:r>
            <w:r w:rsidR="00253B82" w:rsidRPr="00413DE0">
              <w:rPr>
                <w:szCs w:val="24"/>
              </w:rPr>
              <w:t>,</w:t>
            </w:r>
            <w:r w:rsidR="007C4DB8" w:rsidRPr="00413DE0">
              <w:rPr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413DE0" w:rsidRDefault="002C6F7F" w:rsidP="007C4DB8">
            <w:pPr>
              <w:keepNext/>
              <w:jc w:val="center"/>
              <w:rPr>
                <w:szCs w:val="24"/>
              </w:rPr>
            </w:pPr>
            <w:r w:rsidRPr="00413DE0">
              <w:rPr>
                <w:szCs w:val="24"/>
              </w:rPr>
              <w:t>25</w:t>
            </w:r>
            <w:r w:rsidR="00253B82" w:rsidRPr="00413DE0">
              <w:rPr>
                <w:szCs w:val="24"/>
              </w:rPr>
              <w:t>,</w:t>
            </w:r>
            <w:r w:rsidR="007C4DB8" w:rsidRPr="00413DE0">
              <w:rPr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50,2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30</w:t>
            </w:r>
            <w:r w:rsidR="00253B82">
              <w:rPr>
                <w:szCs w:val="24"/>
              </w:rPr>
              <w:t>,0</w:t>
            </w:r>
          </w:p>
        </w:tc>
        <w:tc>
          <w:tcPr>
            <w:tcW w:w="1038" w:type="dxa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70</w:t>
            </w:r>
            <w:r w:rsidR="00253B82">
              <w:rPr>
                <w:szCs w:val="24"/>
              </w:rPr>
              <w:t>,0</w:t>
            </w:r>
          </w:p>
        </w:tc>
      </w:tr>
      <w:tr w:rsidR="002C6F7F" w:rsidRPr="001118F3" w:rsidTr="005651F9">
        <w:trPr>
          <w:trHeight w:val="109"/>
        </w:trPr>
        <w:tc>
          <w:tcPr>
            <w:tcW w:w="567" w:type="dxa"/>
          </w:tcPr>
          <w:p w:rsidR="002C6F7F" w:rsidRPr="001118F3" w:rsidRDefault="002C6F7F" w:rsidP="007B7DC5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:rsidR="002C6F7F" w:rsidRPr="001118F3" w:rsidRDefault="002C6F7F" w:rsidP="007B7DC5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Туристский поток, тыс. человек в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305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332,76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351,4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389,4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399</w:t>
            </w:r>
          </w:p>
        </w:tc>
        <w:tc>
          <w:tcPr>
            <w:tcW w:w="1134" w:type="dxa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419,1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390</w:t>
            </w:r>
          </w:p>
        </w:tc>
        <w:tc>
          <w:tcPr>
            <w:tcW w:w="1038" w:type="dxa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600</w:t>
            </w:r>
          </w:p>
        </w:tc>
      </w:tr>
      <w:tr w:rsidR="002C6F7F" w:rsidRPr="001118F3" w:rsidTr="005651F9">
        <w:trPr>
          <w:trHeight w:val="109"/>
        </w:trPr>
        <w:tc>
          <w:tcPr>
            <w:tcW w:w="567" w:type="dxa"/>
          </w:tcPr>
          <w:p w:rsidR="002C6F7F" w:rsidRPr="001118F3" w:rsidRDefault="002C6F7F" w:rsidP="007B7DC5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7.</w:t>
            </w:r>
          </w:p>
        </w:tc>
        <w:tc>
          <w:tcPr>
            <w:tcW w:w="5387" w:type="dxa"/>
            <w:shd w:val="clear" w:color="auto" w:fill="auto"/>
          </w:tcPr>
          <w:p w:rsidR="002C6F7F" w:rsidRPr="001118F3" w:rsidRDefault="002C6F7F" w:rsidP="007B7DC5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Количество мест в коллективных средствах размещения (гостиницы, пансионаты, санаторно-курортные организации и другие), тыс. мест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3,772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4,174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4,345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4,427</w:t>
            </w:r>
          </w:p>
        </w:tc>
        <w:tc>
          <w:tcPr>
            <w:tcW w:w="1134" w:type="dxa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4,522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4,5</w:t>
            </w:r>
          </w:p>
        </w:tc>
        <w:tc>
          <w:tcPr>
            <w:tcW w:w="1038" w:type="dxa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5,5</w:t>
            </w:r>
          </w:p>
        </w:tc>
      </w:tr>
      <w:tr w:rsidR="002C6F7F" w:rsidRPr="001118F3" w:rsidTr="005651F9">
        <w:trPr>
          <w:trHeight w:val="109"/>
        </w:trPr>
        <w:tc>
          <w:tcPr>
            <w:tcW w:w="567" w:type="dxa"/>
          </w:tcPr>
          <w:p w:rsidR="002C6F7F" w:rsidRPr="001118F3" w:rsidRDefault="002C6F7F" w:rsidP="007B7DC5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8.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Средняя ожидаемая продолжительность жизни,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ind w:left="34" w:hanging="34"/>
              <w:contextualSpacing/>
              <w:jc w:val="center"/>
              <w:rPr>
                <w:kern w:val="24"/>
                <w:szCs w:val="24"/>
              </w:rPr>
            </w:pPr>
            <w:r w:rsidRPr="001118F3">
              <w:rPr>
                <w:kern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ind w:left="34" w:hanging="34"/>
              <w:contextualSpacing/>
              <w:jc w:val="center"/>
              <w:rPr>
                <w:kern w:val="24"/>
                <w:szCs w:val="24"/>
              </w:rPr>
            </w:pPr>
            <w:r w:rsidRPr="001118F3">
              <w:rPr>
                <w:kern w:val="24"/>
                <w:szCs w:val="24"/>
              </w:rPr>
              <w:t>70,2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ind w:left="34" w:hanging="34"/>
              <w:contextualSpacing/>
              <w:jc w:val="center"/>
              <w:rPr>
                <w:kern w:val="24"/>
                <w:szCs w:val="24"/>
              </w:rPr>
            </w:pPr>
            <w:r w:rsidRPr="001118F3">
              <w:rPr>
                <w:kern w:val="24"/>
                <w:szCs w:val="24"/>
              </w:rPr>
              <w:t>70,8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ind w:left="34" w:hanging="34"/>
              <w:contextualSpacing/>
              <w:jc w:val="center"/>
              <w:rPr>
                <w:kern w:val="24"/>
                <w:szCs w:val="24"/>
              </w:rPr>
            </w:pPr>
            <w:r w:rsidRPr="001118F3">
              <w:rPr>
                <w:kern w:val="24"/>
                <w:szCs w:val="24"/>
              </w:rPr>
              <w:t>71,97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ind w:left="34" w:hanging="34"/>
              <w:contextualSpacing/>
              <w:jc w:val="center"/>
              <w:rPr>
                <w:kern w:val="24"/>
                <w:szCs w:val="24"/>
              </w:rPr>
            </w:pPr>
            <w:r w:rsidRPr="001118F3">
              <w:rPr>
                <w:kern w:val="24"/>
                <w:szCs w:val="24"/>
              </w:rPr>
              <w:t>72,84</w:t>
            </w:r>
          </w:p>
        </w:tc>
        <w:tc>
          <w:tcPr>
            <w:tcW w:w="1134" w:type="dxa"/>
            <w:vAlign w:val="center"/>
          </w:tcPr>
          <w:p w:rsidR="002C6F7F" w:rsidRPr="001118F3" w:rsidRDefault="002C6F7F" w:rsidP="004836AC">
            <w:pPr>
              <w:keepNext/>
              <w:ind w:left="34" w:hanging="34"/>
              <w:contextualSpacing/>
              <w:jc w:val="center"/>
              <w:rPr>
                <w:kern w:val="24"/>
                <w:szCs w:val="24"/>
              </w:rPr>
            </w:pPr>
            <w:r w:rsidRPr="001118F3">
              <w:rPr>
                <w:kern w:val="24"/>
                <w:szCs w:val="24"/>
              </w:rPr>
              <w:t>72,84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ind w:left="34" w:hanging="34"/>
              <w:contextualSpacing/>
              <w:jc w:val="center"/>
              <w:rPr>
                <w:kern w:val="24"/>
                <w:szCs w:val="24"/>
              </w:rPr>
            </w:pPr>
            <w:r w:rsidRPr="001118F3">
              <w:rPr>
                <w:kern w:val="24"/>
                <w:szCs w:val="24"/>
              </w:rPr>
              <w:t>71</w:t>
            </w:r>
          </w:p>
        </w:tc>
        <w:tc>
          <w:tcPr>
            <w:tcW w:w="1038" w:type="dxa"/>
            <w:vAlign w:val="center"/>
          </w:tcPr>
          <w:p w:rsidR="002C6F7F" w:rsidRPr="001118F3" w:rsidRDefault="002C6F7F" w:rsidP="007B7DC5">
            <w:pPr>
              <w:keepNext/>
              <w:ind w:left="34" w:hanging="34"/>
              <w:contextualSpacing/>
              <w:jc w:val="center"/>
              <w:rPr>
                <w:kern w:val="24"/>
                <w:szCs w:val="24"/>
              </w:rPr>
            </w:pPr>
            <w:r w:rsidRPr="001118F3">
              <w:rPr>
                <w:kern w:val="24"/>
                <w:szCs w:val="24"/>
              </w:rPr>
              <w:t>74</w:t>
            </w:r>
          </w:p>
        </w:tc>
      </w:tr>
      <w:tr w:rsidR="002C6F7F" w:rsidRPr="001118F3" w:rsidTr="005651F9">
        <w:trPr>
          <w:trHeight w:val="109"/>
        </w:trPr>
        <w:tc>
          <w:tcPr>
            <w:tcW w:w="567" w:type="dxa"/>
          </w:tcPr>
          <w:p w:rsidR="002C6F7F" w:rsidRPr="001118F3" w:rsidRDefault="002C6F7F" w:rsidP="007B7DC5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9.</w:t>
            </w:r>
          </w:p>
        </w:tc>
        <w:tc>
          <w:tcPr>
            <w:tcW w:w="5387" w:type="dxa"/>
            <w:shd w:val="clear" w:color="auto" w:fill="auto"/>
          </w:tcPr>
          <w:p w:rsidR="002C6F7F" w:rsidRPr="001118F3" w:rsidRDefault="002C6F7F" w:rsidP="007B7DC5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 xml:space="preserve">Соотношение среднемесячной заработной платы и прожиточного минимума, раз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3,3</w:t>
            </w:r>
          </w:p>
        </w:tc>
        <w:tc>
          <w:tcPr>
            <w:tcW w:w="1134" w:type="dxa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3,2</w:t>
            </w:r>
          </w:p>
        </w:tc>
        <w:tc>
          <w:tcPr>
            <w:tcW w:w="1038" w:type="dxa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4,2</w:t>
            </w:r>
          </w:p>
        </w:tc>
      </w:tr>
      <w:tr w:rsidR="00A668F6" w:rsidRPr="001118F3" w:rsidTr="005651F9">
        <w:trPr>
          <w:trHeight w:val="109"/>
        </w:trPr>
        <w:tc>
          <w:tcPr>
            <w:tcW w:w="567" w:type="dxa"/>
          </w:tcPr>
          <w:p w:rsidR="00A668F6" w:rsidRPr="001118F3" w:rsidRDefault="00A668F6" w:rsidP="00F347E8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10.</w:t>
            </w:r>
          </w:p>
        </w:tc>
        <w:tc>
          <w:tcPr>
            <w:tcW w:w="5387" w:type="dxa"/>
            <w:shd w:val="clear" w:color="auto" w:fill="auto"/>
          </w:tcPr>
          <w:p w:rsidR="00A668F6" w:rsidRPr="001118F3" w:rsidRDefault="00A668F6" w:rsidP="003F31D5">
            <w:pPr>
              <w:keepNext/>
              <w:rPr>
                <w:color w:val="FF0000"/>
                <w:szCs w:val="24"/>
              </w:rPr>
            </w:pPr>
            <w:r w:rsidRPr="001118F3">
              <w:rPr>
                <w:szCs w:val="24"/>
              </w:rPr>
              <w:t xml:space="preserve">Рост реальной заработной платы, </w:t>
            </w:r>
            <w:r>
              <w:rPr>
                <w:szCs w:val="24"/>
              </w:rPr>
              <w:br/>
            </w:r>
            <w:proofErr w:type="gramStart"/>
            <w:r w:rsidRPr="001118F3">
              <w:rPr>
                <w:szCs w:val="24"/>
              </w:rPr>
              <w:t>в</w:t>
            </w:r>
            <w:proofErr w:type="gramEnd"/>
            <w:r w:rsidRPr="001118F3">
              <w:rPr>
                <w:szCs w:val="24"/>
              </w:rPr>
              <w:t xml:space="preserve"> % </w:t>
            </w:r>
            <w:proofErr w:type="gramStart"/>
            <w:r w:rsidRPr="001118F3">
              <w:rPr>
                <w:szCs w:val="24"/>
              </w:rPr>
              <w:t>к</w:t>
            </w:r>
            <w:proofErr w:type="gramEnd"/>
            <w:r w:rsidRPr="001118F3">
              <w:rPr>
                <w:szCs w:val="24"/>
              </w:rPr>
              <w:t xml:space="preserve"> предыдущему году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8F6" w:rsidRPr="001118F3" w:rsidRDefault="00A668F6" w:rsidP="003F31D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111,4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8F6" w:rsidRPr="001118F3" w:rsidRDefault="00A668F6" w:rsidP="003F31D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68F6" w:rsidRPr="001118F3" w:rsidRDefault="00A668F6" w:rsidP="003F31D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68F6" w:rsidRPr="001118F3" w:rsidRDefault="00A668F6" w:rsidP="003F31D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89,8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8F6" w:rsidRPr="001118F3" w:rsidRDefault="00A668F6" w:rsidP="003F31D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98,2</w:t>
            </w:r>
          </w:p>
        </w:tc>
        <w:tc>
          <w:tcPr>
            <w:tcW w:w="1134" w:type="dxa"/>
            <w:vAlign w:val="center"/>
          </w:tcPr>
          <w:p w:rsidR="00A668F6" w:rsidRPr="001118F3" w:rsidRDefault="00A668F6" w:rsidP="003F31D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103,7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:rsidR="00A668F6" w:rsidRPr="001118F3" w:rsidRDefault="00A668F6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103</w:t>
            </w:r>
            <w:r w:rsidR="00253B82">
              <w:rPr>
                <w:szCs w:val="24"/>
              </w:rPr>
              <w:t>,0</w:t>
            </w:r>
            <w:r w:rsidRPr="001118F3">
              <w:rPr>
                <w:szCs w:val="24"/>
              </w:rPr>
              <w:t>-104</w:t>
            </w:r>
            <w:r w:rsidR="00253B82">
              <w:rPr>
                <w:szCs w:val="24"/>
              </w:rPr>
              <w:t>,0</w:t>
            </w:r>
            <w:r w:rsidR="00047B8B">
              <w:rPr>
                <w:szCs w:val="24"/>
              </w:rPr>
              <w:t xml:space="preserve"> в год</w:t>
            </w:r>
          </w:p>
        </w:tc>
      </w:tr>
      <w:tr w:rsidR="002C6F7F" w:rsidRPr="001118F3" w:rsidTr="005651F9">
        <w:trPr>
          <w:trHeight w:val="109"/>
        </w:trPr>
        <w:tc>
          <w:tcPr>
            <w:tcW w:w="567" w:type="dxa"/>
          </w:tcPr>
          <w:p w:rsidR="002C6F7F" w:rsidRPr="001118F3" w:rsidRDefault="002C6F7F" w:rsidP="005106E4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1</w:t>
            </w:r>
            <w:r w:rsidR="005106E4">
              <w:rPr>
                <w:szCs w:val="24"/>
              </w:rPr>
              <w:t>1</w:t>
            </w:r>
            <w:r w:rsidRPr="001118F3">
              <w:rPr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2C6F7F" w:rsidRPr="001118F3" w:rsidRDefault="002C6F7F" w:rsidP="007B7DC5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 xml:space="preserve">Доступность подвижного состава общественного транспорта для </w:t>
            </w:r>
            <w:proofErr w:type="spellStart"/>
            <w:r w:rsidRPr="001118F3">
              <w:rPr>
                <w:szCs w:val="24"/>
              </w:rPr>
              <w:t>маломобильных</w:t>
            </w:r>
            <w:proofErr w:type="spellEnd"/>
            <w:r w:rsidRPr="001118F3">
              <w:rPr>
                <w:szCs w:val="24"/>
              </w:rPr>
              <w:t xml:space="preserve"> групп граждан (доля транспортных средств, приспособленных для перемещения),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0,78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0,97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23,7</w:t>
            </w:r>
            <w:r w:rsidRPr="001118F3">
              <w:rPr>
                <w:rStyle w:val="ab"/>
                <w:szCs w:val="24"/>
              </w:rPr>
              <w:footnoteReference w:id="2"/>
            </w:r>
          </w:p>
        </w:tc>
        <w:tc>
          <w:tcPr>
            <w:tcW w:w="1134" w:type="dxa"/>
            <w:vAlign w:val="center"/>
          </w:tcPr>
          <w:p w:rsidR="002C6F7F" w:rsidRPr="001118F3" w:rsidRDefault="002C6F7F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FC52D3" w:rsidP="007B7DC5">
            <w:pPr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2,6</w:t>
            </w:r>
          </w:p>
        </w:tc>
        <w:tc>
          <w:tcPr>
            <w:tcW w:w="1038" w:type="dxa"/>
            <w:vAlign w:val="center"/>
          </w:tcPr>
          <w:p w:rsidR="002C6F7F" w:rsidRPr="001118F3" w:rsidRDefault="00FC52D3" w:rsidP="007B7DC5">
            <w:pPr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</w:tr>
      <w:tr w:rsidR="002C6F7F" w:rsidRPr="001118F3" w:rsidTr="005651F9">
        <w:trPr>
          <w:trHeight w:val="109"/>
        </w:trPr>
        <w:tc>
          <w:tcPr>
            <w:tcW w:w="567" w:type="dxa"/>
          </w:tcPr>
          <w:p w:rsidR="002C6F7F" w:rsidRPr="001118F3" w:rsidRDefault="002C6F7F" w:rsidP="005106E4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1</w:t>
            </w:r>
            <w:r w:rsidR="005106E4">
              <w:rPr>
                <w:szCs w:val="24"/>
              </w:rPr>
              <w:t>2</w:t>
            </w:r>
            <w:r w:rsidRPr="001118F3">
              <w:rPr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2C6F7F" w:rsidRPr="001118F3" w:rsidRDefault="002C6F7F" w:rsidP="007624EE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 xml:space="preserve">Доля школьников, обучающихся в образовательных </w:t>
            </w:r>
            <w:r w:rsidR="007624EE">
              <w:rPr>
                <w:szCs w:val="24"/>
              </w:rPr>
              <w:t>организациях</w:t>
            </w:r>
            <w:r w:rsidRPr="001118F3">
              <w:rPr>
                <w:szCs w:val="24"/>
              </w:rPr>
              <w:t>, отвечающих современным требованиям,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75</w:t>
            </w:r>
            <w:r w:rsidR="00253B82">
              <w:rPr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81</w:t>
            </w:r>
            <w:r w:rsidR="00253B82">
              <w:rPr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85</w:t>
            </w:r>
            <w:r w:rsidR="00253B82">
              <w:rPr>
                <w:szCs w:val="24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85</w:t>
            </w:r>
            <w:r w:rsidR="00253B82">
              <w:rPr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85</w:t>
            </w:r>
            <w:r w:rsidR="00253B82">
              <w:rPr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85</w:t>
            </w:r>
            <w:r w:rsidR="00253B82">
              <w:rPr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85</w:t>
            </w:r>
            <w:r w:rsidR="00253B82">
              <w:rPr>
                <w:szCs w:val="24"/>
              </w:rPr>
              <w:t>,0</w:t>
            </w:r>
          </w:p>
        </w:tc>
        <w:tc>
          <w:tcPr>
            <w:tcW w:w="1038" w:type="dxa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100</w:t>
            </w:r>
            <w:r w:rsidR="00253B82">
              <w:rPr>
                <w:szCs w:val="24"/>
              </w:rPr>
              <w:t>,0</w:t>
            </w:r>
          </w:p>
        </w:tc>
      </w:tr>
      <w:tr w:rsidR="002C6F7F" w:rsidRPr="001118F3" w:rsidTr="005651F9">
        <w:trPr>
          <w:trHeight w:val="109"/>
        </w:trPr>
        <w:tc>
          <w:tcPr>
            <w:tcW w:w="567" w:type="dxa"/>
          </w:tcPr>
          <w:p w:rsidR="002C6F7F" w:rsidRPr="001118F3" w:rsidRDefault="002C6F7F" w:rsidP="005106E4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1</w:t>
            </w:r>
            <w:r w:rsidR="005106E4">
              <w:rPr>
                <w:szCs w:val="24"/>
              </w:rPr>
              <w:t>3</w:t>
            </w:r>
            <w:r w:rsidRPr="001118F3">
              <w:rPr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2C6F7F" w:rsidRPr="001118F3" w:rsidRDefault="002C6F7F" w:rsidP="003D463D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Удельный вес населения, систематически занимающегося физической культурой и спортом,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30,07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31,9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33,5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36,6</w:t>
            </w:r>
          </w:p>
        </w:tc>
        <w:tc>
          <w:tcPr>
            <w:tcW w:w="1134" w:type="dxa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37,4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29,5</w:t>
            </w:r>
          </w:p>
        </w:tc>
        <w:tc>
          <w:tcPr>
            <w:tcW w:w="1038" w:type="dxa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55</w:t>
            </w:r>
            <w:r w:rsidR="00253B82">
              <w:rPr>
                <w:szCs w:val="24"/>
              </w:rPr>
              <w:t>,0</w:t>
            </w:r>
          </w:p>
        </w:tc>
      </w:tr>
      <w:tr w:rsidR="002C6F7F" w:rsidRPr="001118F3" w:rsidTr="005651F9">
        <w:trPr>
          <w:trHeight w:val="109"/>
        </w:trPr>
        <w:tc>
          <w:tcPr>
            <w:tcW w:w="567" w:type="dxa"/>
          </w:tcPr>
          <w:p w:rsidR="002C6F7F" w:rsidRPr="001118F3" w:rsidRDefault="002C6F7F" w:rsidP="005106E4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1</w:t>
            </w:r>
            <w:r w:rsidR="005106E4">
              <w:rPr>
                <w:szCs w:val="24"/>
              </w:rPr>
              <w:t>4</w:t>
            </w:r>
            <w:r w:rsidRPr="001118F3">
              <w:rPr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2C6F7F" w:rsidRPr="001118F3" w:rsidRDefault="002C6F7F" w:rsidP="009245F4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Ввод жилья за счет всех источников финансирования на душу населения, кв</w:t>
            </w:r>
            <w:proofErr w:type="gramStart"/>
            <w:r w:rsidRPr="001118F3">
              <w:rPr>
                <w:szCs w:val="24"/>
              </w:rPr>
              <w:t>.м</w:t>
            </w:r>
            <w:proofErr w:type="gramEnd"/>
            <w:r w:rsidRPr="001118F3">
              <w:rPr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9245F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9245F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1118F3" w:rsidRDefault="002C6F7F" w:rsidP="009245F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0,65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1118F3" w:rsidRDefault="002C6F7F" w:rsidP="009245F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9245F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0,69</w:t>
            </w:r>
          </w:p>
        </w:tc>
        <w:tc>
          <w:tcPr>
            <w:tcW w:w="1134" w:type="dxa"/>
            <w:vAlign w:val="center"/>
          </w:tcPr>
          <w:p w:rsidR="002C6F7F" w:rsidRPr="001118F3" w:rsidRDefault="002C6F7F" w:rsidP="009245F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9245F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0,58</w:t>
            </w:r>
          </w:p>
        </w:tc>
        <w:tc>
          <w:tcPr>
            <w:tcW w:w="1038" w:type="dxa"/>
            <w:vAlign w:val="center"/>
          </w:tcPr>
          <w:p w:rsidR="002C6F7F" w:rsidRPr="001118F3" w:rsidRDefault="002C6F7F" w:rsidP="009245F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0,6</w:t>
            </w:r>
          </w:p>
        </w:tc>
      </w:tr>
      <w:tr w:rsidR="002C6F7F" w:rsidRPr="001118F3" w:rsidTr="005651F9">
        <w:trPr>
          <w:trHeight w:val="109"/>
        </w:trPr>
        <w:tc>
          <w:tcPr>
            <w:tcW w:w="567" w:type="dxa"/>
          </w:tcPr>
          <w:p w:rsidR="002C6F7F" w:rsidRPr="001118F3" w:rsidRDefault="002C6F7F" w:rsidP="005106E4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1</w:t>
            </w:r>
            <w:r w:rsidR="005106E4">
              <w:rPr>
                <w:szCs w:val="24"/>
              </w:rPr>
              <w:t>5</w:t>
            </w:r>
            <w:r w:rsidRPr="001118F3">
              <w:rPr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2C6F7F" w:rsidRPr="001118F3" w:rsidRDefault="002C6F7F" w:rsidP="003D463D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 xml:space="preserve">Доля аварийного и ветхого жилья в общей площади жилищного фонда, %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0,7</w:t>
            </w:r>
          </w:p>
        </w:tc>
        <w:tc>
          <w:tcPr>
            <w:tcW w:w="1134" w:type="dxa"/>
            <w:vAlign w:val="center"/>
          </w:tcPr>
          <w:p w:rsidR="002C6F7F" w:rsidRPr="001118F3" w:rsidRDefault="002C6F7F" w:rsidP="002F70A6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0,</w:t>
            </w:r>
            <w:r w:rsidR="002F70A6">
              <w:rPr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менее 1</w:t>
            </w:r>
          </w:p>
        </w:tc>
        <w:tc>
          <w:tcPr>
            <w:tcW w:w="1038" w:type="dxa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</w:t>
            </w:r>
          </w:p>
        </w:tc>
      </w:tr>
      <w:tr w:rsidR="002C6F7F" w:rsidRPr="001118F3" w:rsidTr="005651F9">
        <w:trPr>
          <w:trHeight w:val="109"/>
        </w:trPr>
        <w:tc>
          <w:tcPr>
            <w:tcW w:w="567" w:type="dxa"/>
          </w:tcPr>
          <w:p w:rsidR="002C6F7F" w:rsidRPr="001118F3" w:rsidRDefault="002C6F7F" w:rsidP="005106E4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1</w:t>
            </w:r>
            <w:r w:rsidR="005106E4">
              <w:rPr>
                <w:szCs w:val="24"/>
              </w:rPr>
              <w:t>6</w:t>
            </w:r>
            <w:r w:rsidRPr="001118F3">
              <w:rPr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047B8B" w:rsidRPr="001118F3" w:rsidRDefault="002C6F7F" w:rsidP="003D463D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Доля частных (внебюджетных) инвестиций в общем объеме инвестиций,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675617">
            <w:pPr>
              <w:keepNext/>
              <w:jc w:val="center"/>
              <w:rPr>
                <w:szCs w:val="24"/>
              </w:rPr>
            </w:pPr>
            <w:r w:rsidRPr="000F79CE">
              <w:rPr>
                <w:szCs w:val="24"/>
              </w:rPr>
              <w:t>56,</w:t>
            </w:r>
            <w:r w:rsidR="00675617" w:rsidRPr="000F79CE">
              <w:rPr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  <w:lang w:val="en-US"/>
              </w:rPr>
            </w:pPr>
            <w:r w:rsidRPr="001118F3">
              <w:rPr>
                <w:szCs w:val="24"/>
              </w:rPr>
              <w:t>80,9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68,6</w:t>
            </w:r>
          </w:p>
        </w:tc>
        <w:tc>
          <w:tcPr>
            <w:tcW w:w="1134" w:type="dxa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  <w:lang w:val="en-US"/>
              </w:rPr>
            </w:pPr>
            <w:r w:rsidRPr="001118F3">
              <w:rPr>
                <w:szCs w:val="24"/>
                <w:lang w:val="en-US"/>
              </w:rPr>
              <w:t>5</w:t>
            </w:r>
            <w:r w:rsidRPr="001118F3">
              <w:rPr>
                <w:szCs w:val="24"/>
              </w:rPr>
              <w:t>8</w:t>
            </w:r>
          </w:p>
        </w:tc>
        <w:tc>
          <w:tcPr>
            <w:tcW w:w="1038" w:type="dxa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60</w:t>
            </w:r>
          </w:p>
        </w:tc>
      </w:tr>
      <w:tr w:rsidR="002C6F7F" w:rsidRPr="001118F3" w:rsidTr="005651F9">
        <w:trPr>
          <w:trHeight w:val="109"/>
        </w:trPr>
        <w:tc>
          <w:tcPr>
            <w:tcW w:w="567" w:type="dxa"/>
          </w:tcPr>
          <w:p w:rsidR="002C6F7F" w:rsidRPr="001118F3" w:rsidRDefault="002C6F7F" w:rsidP="005106E4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lastRenderedPageBreak/>
              <w:t>1</w:t>
            </w:r>
            <w:r w:rsidR="005106E4">
              <w:rPr>
                <w:szCs w:val="24"/>
              </w:rPr>
              <w:t>7</w:t>
            </w:r>
            <w:r w:rsidRPr="001118F3">
              <w:rPr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2C6F7F" w:rsidRPr="001118F3" w:rsidRDefault="002C6F7F" w:rsidP="003D463D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Размещение в федеральных электронных и печатных СМИ событийных и тематических материалов о Барнауле, интервью с руководителями органов местного самоуправления, 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4</w:t>
            </w:r>
          </w:p>
        </w:tc>
        <w:tc>
          <w:tcPr>
            <w:tcW w:w="1038" w:type="dxa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8</w:t>
            </w:r>
          </w:p>
        </w:tc>
      </w:tr>
      <w:tr w:rsidR="002C6F7F" w:rsidRPr="001118F3" w:rsidTr="005651F9">
        <w:trPr>
          <w:trHeight w:val="109"/>
        </w:trPr>
        <w:tc>
          <w:tcPr>
            <w:tcW w:w="567" w:type="dxa"/>
          </w:tcPr>
          <w:p w:rsidR="002C6F7F" w:rsidRPr="001118F3" w:rsidRDefault="002C6F7F" w:rsidP="005106E4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1</w:t>
            </w:r>
            <w:r w:rsidR="005106E4">
              <w:rPr>
                <w:szCs w:val="24"/>
              </w:rPr>
              <w:t>8</w:t>
            </w:r>
            <w:r w:rsidRPr="001118F3">
              <w:rPr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Уровень газификации жилья,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24,89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25,72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26,73</w:t>
            </w:r>
          </w:p>
        </w:tc>
        <w:tc>
          <w:tcPr>
            <w:tcW w:w="1134" w:type="dxa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26,9</w:t>
            </w:r>
          </w:p>
        </w:tc>
        <w:tc>
          <w:tcPr>
            <w:tcW w:w="1038" w:type="dxa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34,1</w:t>
            </w:r>
          </w:p>
        </w:tc>
      </w:tr>
      <w:tr w:rsidR="00AF0E6D" w:rsidRPr="001118F3" w:rsidTr="005651F9">
        <w:trPr>
          <w:trHeight w:val="109"/>
        </w:trPr>
        <w:tc>
          <w:tcPr>
            <w:tcW w:w="567" w:type="dxa"/>
          </w:tcPr>
          <w:p w:rsidR="00AF0E6D" w:rsidRPr="001118F3" w:rsidRDefault="005106E4" w:rsidP="00F347E8">
            <w:pPr>
              <w:keepNext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AF0E6D" w:rsidRPr="001118F3">
              <w:rPr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AF0E6D" w:rsidRPr="001118F3" w:rsidRDefault="00AF0E6D" w:rsidP="003D463D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Соответствие нормативу состояния улично-дорожной сети (улиц, дорог, набережных),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E6D" w:rsidRPr="001118F3" w:rsidRDefault="00AF0E6D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76</w:t>
            </w:r>
            <w:r w:rsidR="00047B8B">
              <w:rPr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E6D" w:rsidRPr="001118F3" w:rsidRDefault="00AF0E6D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E6D" w:rsidRPr="001118F3" w:rsidRDefault="00AF0E6D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76,7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E6D" w:rsidRPr="001118F3" w:rsidRDefault="00AF0E6D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E6D" w:rsidRPr="001118F3" w:rsidRDefault="00AF0E6D" w:rsidP="009718F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-</w:t>
            </w:r>
            <w:r w:rsidR="009718FD"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AF0E6D" w:rsidRPr="001118F3" w:rsidRDefault="00E60153" w:rsidP="00AF0E6D">
            <w:pPr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A70629">
              <w:rPr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E6D" w:rsidRPr="001118F3" w:rsidRDefault="00E60153" w:rsidP="003D463D">
            <w:pPr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  <w:r w:rsidR="00047B8B">
              <w:rPr>
                <w:szCs w:val="24"/>
              </w:rPr>
              <w:t>,0</w:t>
            </w:r>
          </w:p>
        </w:tc>
        <w:tc>
          <w:tcPr>
            <w:tcW w:w="1038" w:type="dxa"/>
            <w:vAlign w:val="center"/>
          </w:tcPr>
          <w:p w:rsidR="00AF0E6D" w:rsidRPr="001118F3" w:rsidRDefault="00AF0E6D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80</w:t>
            </w:r>
            <w:r w:rsidR="00047B8B">
              <w:rPr>
                <w:szCs w:val="24"/>
              </w:rPr>
              <w:t>,0</w:t>
            </w:r>
          </w:p>
        </w:tc>
      </w:tr>
      <w:tr w:rsidR="002C6F7F" w:rsidRPr="001118F3" w:rsidTr="005651F9">
        <w:trPr>
          <w:trHeight w:val="109"/>
        </w:trPr>
        <w:tc>
          <w:tcPr>
            <w:tcW w:w="567" w:type="dxa"/>
          </w:tcPr>
          <w:p w:rsidR="002C6F7F" w:rsidRPr="001118F3" w:rsidRDefault="002C6F7F" w:rsidP="005106E4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2</w:t>
            </w:r>
            <w:r w:rsidR="005106E4">
              <w:rPr>
                <w:szCs w:val="24"/>
              </w:rPr>
              <w:t>0</w:t>
            </w:r>
            <w:r w:rsidRPr="001118F3">
              <w:rPr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2C6F7F" w:rsidRPr="001118F3" w:rsidRDefault="002C6F7F" w:rsidP="003D463D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 xml:space="preserve">Протяженность линий наружного освещения, </w:t>
            </w:r>
            <w:proofErr w:type="gramStart"/>
            <w:r w:rsidRPr="001118F3">
              <w:rPr>
                <w:szCs w:val="24"/>
              </w:rPr>
              <w:t>км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577,4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587,7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597,71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607,8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618,01</w:t>
            </w:r>
          </w:p>
        </w:tc>
        <w:tc>
          <w:tcPr>
            <w:tcW w:w="1134" w:type="dxa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636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633</w:t>
            </w:r>
          </w:p>
        </w:tc>
        <w:tc>
          <w:tcPr>
            <w:tcW w:w="1038" w:type="dxa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700</w:t>
            </w:r>
          </w:p>
        </w:tc>
      </w:tr>
      <w:tr w:rsidR="002C6F7F" w:rsidRPr="001118F3" w:rsidTr="005651F9">
        <w:trPr>
          <w:trHeight w:val="109"/>
        </w:trPr>
        <w:tc>
          <w:tcPr>
            <w:tcW w:w="567" w:type="dxa"/>
          </w:tcPr>
          <w:p w:rsidR="002C6F7F" w:rsidRPr="001118F3" w:rsidRDefault="002C6F7F" w:rsidP="005106E4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2</w:t>
            </w:r>
            <w:r w:rsidR="005106E4">
              <w:rPr>
                <w:szCs w:val="24"/>
              </w:rPr>
              <w:t>1</w:t>
            </w:r>
            <w:r w:rsidRPr="001118F3">
              <w:rPr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2C6F7F" w:rsidRPr="001118F3" w:rsidRDefault="002C6F7F" w:rsidP="00D661BD">
            <w:pPr>
              <w:keepNext/>
              <w:autoSpaceDE w:val="0"/>
              <w:autoSpaceDN w:val="0"/>
              <w:adjustRightInd w:val="0"/>
              <w:rPr>
                <w:szCs w:val="24"/>
              </w:rPr>
            </w:pPr>
            <w:r w:rsidRPr="001118F3">
              <w:rPr>
                <w:szCs w:val="24"/>
              </w:rPr>
              <w:t>Наличие утвержденного бренда города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D661B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D661B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1118F3" w:rsidRDefault="002C6F7F" w:rsidP="00D661B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2C6F7F" w:rsidRPr="001118F3" w:rsidRDefault="002C6F7F" w:rsidP="00D661B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2C6F7F" w:rsidRPr="001118F3" w:rsidRDefault="002C6F7F" w:rsidP="00D661B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2C6F7F" w:rsidRPr="001118F3" w:rsidRDefault="002C6F7F" w:rsidP="00D661B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D661B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да</w:t>
            </w:r>
          </w:p>
        </w:tc>
        <w:tc>
          <w:tcPr>
            <w:tcW w:w="1038" w:type="dxa"/>
            <w:vAlign w:val="center"/>
          </w:tcPr>
          <w:p w:rsidR="002C6F7F" w:rsidRPr="001118F3" w:rsidRDefault="002C6F7F" w:rsidP="00D661B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да</w:t>
            </w:r>
          </w:p>
        </w:tc>
      </w:tr>
      <w:tr w:rsidR="002C6F7F" w:rsidRPr="001118F3" w:rsidTr="005651F9">
        <w:trPr>
          <w:trHeight w:val="109"/>
        </w:trPr>
        <w:tc>
          <w:tcPr>
            <w:tcW w:w="567" w:type="dxa"/>
          </w:tcPr>
          <w:p w:rsidR="002C6F7F" w:rsidRPr="001118F3" w:rsidRDefault="002C6F7F" w:rsidP="005106E4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2</w:t>
            </w:r>
            <w:r w:rsidR="005106E4">
              <w:rPr>
                <w:szCs w:val="24"/>
              </w:rPr>
              <w:t>2</w:t>
            </w:r>
            <w:r w:rsidRPr="001118F3">
              <w:rPr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A3854" w:rsidRPr="001118F3" w:rsidRDefault="002C6F7F" w:rsidP="003D463D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Количество реализуемых агломерационных проектов</w:t>
            </w:r>
            <w:r w:rsidR="00BA3854">
              <w:rPr>
                <w:szCs w:val="24"/>
              </w:rPr>
              <w:t>, 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  <w:lang w:val="en-US"/>
              </w:rPr>
            </w:pPr>
            <w:r w:rsidRPr="001118F3">
              <w:rPr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5</w:t>
            </w:r>
          </w:p>
        </w:tc>
      </w:tr>
      <w:tr w:rsidR="002C6F7F" w:rsidRPr="001118F3" w:rsidTr="007D2F92">
        <w:trPr>
          <w:trHeight w:val="109"/>
        </w:trPr>
        <w:tc>
          <w:tcPr>
            <w:tcW w:w="15213" w:type="dxa"/>
            <w:gridSpan w:val="10"/>
          </w:tcPr>
          <w:p w:rsidR="002C6F7F" w:rsidRPr="001118F3" w:rsidRDefault="002C6F7F" w:rsidP="005651F9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 xml:space="preserve">Не </w:t>
            </w:r>
            <w:r w:rsidR="005651F9">
              <w:rPr>
                <w:szCs w:val="24"/>
              </w:rPr>
              <w:t>достигнуты целевые значения 2017 года</w:t>
            </w:r>
          </w:p>
        </w:tc>
      </w:tr>
      <w:tr w:rsidR="002C6F7F" w:rsidRPr="001118F3" w:rsidTr="005651F9">
        <w:trPr>
          <w:trHeight w:val="109"/>
        </w:trPr>
        <w:tc>
          <w:tcPr>
            <w:tcW w:w="567" w:type="dxa"/>
          </w:tcPr>
          <w:p w:rsidR="002C6F7F" w:rsidRPr="001118F3" w:rsidRDefault="002C6F7F" w:rsidP="003D463D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2C6F7F" w:rsidRPr="001118F3" w:rsidRDefault="002C6F7F" w:rsidP="009245F4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Индекс промышленного производства,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9245F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9245F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1118F3" w:rsidRDefault="002C6F7F" w:rsidP="00AE7D80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</w:t>
            </w:r>
            <w:r w:rsidR="00AE7D80">
              <w:rPr>
                <w:szCs w:val="24"/>
              </w:rPr>
              <w:t>2</w:t>
            </w:r>
            <w:r w:rsidRPr="001118F3">
              <w:rPr>
                <w:szCs w:val="24"/>
              </w:rPr>
              <w:t>,</w:t>
            </w:r>
            <w:r w:rsidR="00AE7D80">
              <w:rPr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1118F3" w:rsidRDefault="002C6F7F" w:rsidP="009245F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9F4E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100,7</w:t>
            </w:r>
          </w:p>
        </w:tc>
        <w:tc>
          <w:tcPr>
            <w:tcW w:w="1134" w:type="dxa"/>
            <w:vAlign w:val="center"/>
          </w:tcPr>
          <w:p w:rsidR="002C6F7F" w:rsidRPr="001118F3" w:rsidRDefault="00AE7D80" w:rsidP="009245F4">
            <w:pPr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106,0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:rsidR="002C6F7F" w:rsidRPr="001118F3" w:rsidRDefault="002C6F7F" w:rsidP="009245F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105</w:t>
            </w:r>
            <w:r w:rsidR="00047B8B">
              <w:rPr>
                <w:szCs w:val="24"/>
              </w:rPr>
              <w:t>,0</w:t>
            </w:r>
            <w:r w:rsidRPr="001118F3">
              <w:rPr>
                <w:szCs w:val="24"/>
              </w:rPr>
              <w:t>-107</w:t>
            </w:r>
            <w:r w:rsidR="00047B8B">
              <w:rPr>
                <w:szCs w:val="24"/>
              </w:rPr>
              <w:t>,0</w:t>
            </w:r>
            <w:r w:rsidRPr="001118F3">
              <w:rPr>
                <w:szCs w:val="24"/>
              </w:rPr>
              <w:t xml:space="preserve"> в год</w:t>
            </w:r>
          </w:p>
        </w:tc>
      </w:tr>
      <w:tr w:rsidR="002C6F7F" w:rsidRPr="001118F3" w:rsidTr="005651F9">
        <w:trPr>
          <w:trHeight w:val="109"/>
        </w:trPr>
        <w:tc>
          <w:tcPr>
            <w:tcW w:w="567" w:type="dxa"/>
          </w:tcPr>
          <w:p w:rsidR="002C6F7F" w:rsidRPr="001118F3" w:rsidRDefault="002C6F7F" w:rsidP="003D463D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2C6F7F" w:rsidRPr="001118F3" w:rsidRDefault="002C6F7F" w:rsidP="009245F4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Индекс производства пищевых продуктов, включая напитки,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9245F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122,9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9245F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1118F3" w:rsidRDefault="002C6F7F" w:rsidP="009245F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111,3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1118F3" w:rsidRDefault="002C6F7F" w:rsidP="009245F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9245F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104,9</w:t>
            </w:r>
          </w:p>
        </w:tc>
        <w:tc>
          <w:tcPr>
            <w:tcW w:w="1134" w:type="dxa"/>
            <w:vAlign w:val="center"/>
          </w:tcPr>
          <w:p w:rsidR="002C6F7F" w:rsidRPr="001118F3" w:rsidRDefault="002C6F7F" w:rsidP="009245F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106,8</w:t>
            </w:r>
            <w:r w:rsidRPr="001118F3">
              <w:rPr>
                <w:rStyle w:val="ab"/>
                <w:szCs w:val="24"/>
              </w:rPr>
              <w:footnoteReference w:id="3"/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:rsidR="002C6F7F" w:rsidRPr="001118F3" w:rsidRDefault="002C6F7F" w:rsidP="009245F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107</w:t>
            </w:r>
            <w:r w:rsidR="005651F9">
              <w:rPr>
                <w:szCs w:val="24"/>
              </w:rPr>
              <w:t>,0</w:t>
            </w:r>
            <w:r w:rsidRPr="001118F3">
              <w:rPr>
                <w:szCs w:val="24"/>
              </w:rPr>
              <w:t>-109</w:t>
            </w:r>
            <w:r w:rsidR="005651F9">
              <w:rPr>
                <w:szCs w:val="24"/>
              </w:rPr>
              <w:t>,0</w:t>
            </w:r>
            <w:r w:rsidRPr="001118F3">
              <w:rPr>
                <w:szCs w:val="24"/>
              </w:rPr>
              <w:t xml:space="preserve"> в год</w:t>
            </w:r>
          </w:p>
        </w:tc>
      </w:tr>
      <w:tr w:rsidR="002C6F7F" w:rsidRPr="001118F3" w:rsidTr="005651F9">
        <w:trPr>
          <w:trHeight w:val="109"/>
        </w:trPr>
        <w:tc>
          <w:tcPr>
            <w:tcW w:w="567" w:type="dxa"/>
          </w:tcPr>
          <w:p w:rsidR="002C6F7F" w:rsidRPr="001118F3" w:rsidRDefault="002C6F7F" w:rsidP="003D463D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2C6F7F" w:rsidRPr="001118F3" w:rsidRDefault="002C6F7F" w:rsidP="004A4414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Удельный вес оборота предприятий неторговой сферы в общем обороте малых и средних предприятий,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4A441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4A441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1118F3" w:rsidRDefault="002C6F7F" w:rsidP="004A441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1118F3" w:rsidRDefault="002C6F7F" w:rsidP="004A441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31,4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4A441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29,8</w:t>
            </w:r>
          </w:p>
        </w:tc>
        <w:tc>
          <w:tcPr>
            <w:tcW w:w="1134" w:type="dxa"/>
            <w:vAlign w:val="center"/>
          </w:tcPr>
          <w:p w:rsidR="002C6F7F" w:rsidRPr="001118F3" w:rsidRDefault="002C6F7F" w:rsidP="004A441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1118F3" w:rsidRDefault="002C6F7F" w:rsidP="004A441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29,5</w:t>
            </w:r>
          </w:p>
        </w:tc>
        <w:tc>
          <w:tcPr>
            <w:tcW w:w="1038" w:type="dxa"/>
            <w:vAlign w:val="center"/>
          </w:tcPr>
          <w:p w:rsidR="002C6F7F" w:rsidRPr="001118F3" w:rsidRDefault="002C6F7F" w:rsidP="004A4414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37,4</w:t>
            </w:r>
          </w:p>
        </w:tc>
      </w:tr>
      <w:tr w:rsidR="002C6F7F" w:rsidRPr="001118F3" w:rsidTr="005651F9">
        <w:trPr>
          <w:trHeight w:val="109"/>
        </w:trPr>
        <w:tc>
          <w:tcPr>
            <w:tcW w:w="567" w:type="dxa"/>
          </w:tcPr>
          <w:p w:rsidR="002C6F7F" w:rsidRPr="001118F3" w:rsidRDefault="002C6F7F" w:rsidP="003D463D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2C6F7F" w:rsidRPr="001118F3" w:rsidRDefault="002C6F7F" w:rsidP="003D463D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Оборот розничной торговли в расчете на душу населения, тыс. 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413DE0" w:rsidRDefault="002C6F7F" w:rsidP="003D463D">
            <w:pPr>
              <w:keepNext/>
              <w:jc w:val="center"/>
              <w:rPr>
                <w:szCs w:val="24"/>
              </w:rPr>
            </w:pPr>
            <w:r w:rsidRPr="00413DE0">
              <w:rPr>
                <w:szCs w:val="24"/>
              </w:rPr>
              <w:t>191,8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413DE0" w:rsidRDefault="00B419A0" w:rsidP="003D463D">
            <w:pPr>
              <w:keepNext/>
              <w:jc w:val="center"/>
              <w:rPr>
                <w:szCs w:val="24"/>
              </w:rPr>
            </w:pPr>
            <w:r w:rsidRPr="00413DE0">
              <w:rPr>
                <w:szCs w:val="24"/>
              </w:rPr>
              <w:t>218,6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413DE0" w:rsidRDefault="00B419A0" w:rsidP="003D463D">
            <w:pPr>
              <w:keepNext/>
              <w:jc w:val="center"/>
              <w:rPr>
                <w:szCs w:val="24"/>
              </w:rPr>
            </w:pPr>
            <w:r w:rsidRPr="00413DE0">
              <w:rPr>
                <w:szCs w:val="24"/>
              </w:rPr>
              <w:t>238,8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413DE0" w:rsidRDefault="002C6F7F" w:rsidP="00B419A0">
            <w:pPr>
              <w:keepNext/>
              <w:jc w:val="center"/>
              <w:rPr>
                <w:szCs w:val="24"/>
              </w:rPr>
            </w:pPr>
            <w:r w:rsidRPr="00413DE0">
              <w:rPr>
                <w:szCs w:val="24"/>
              </w:rPr>
              <w:t>246,</w:t>
            </w:r>
            <w:r w:rsidR="00B419A0" w:rsidRPr="00413DE0">
              <w:rPr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413DE0" w:rsidRDefault="00B419A0" w:rsidP="003D463D">
            <w:pPr>
              <w:keepNext/>
              <w:jc w:val="center"/>
              <w:rPr>
                <w:szCs w:val="24"/>
              </w:rPr>
            </w:pPr>
            <w:r w:rsidRPr="00413DE0">
              <w:rPr>
                <w:szCs w:val="24"/>
              </w:rPr>
              <w:t>251,3</w:t>
            </w:r>
          </w:p>
        </w:tc>
        <w:tc>
          <w:tcPr>
            <w:tcW w:w="1134" w:type="dxa"/>
            <w:vAlign w:val="center"/>
          </w:tcPr>
          <w:p w:rsidR="002C6F7F" w:rsidRPr="00413DE0" w:rsidRDefault="002C6F7F" w:rsidP="00CA11FB">
            <w:pPr>
              <w:keepNext/>
              <w:jc w:val="center"/>
              <w:rPr>
                <w:szCs w:val="24"/>
              </w:rPr>
            </w:pPr>
            <w:r w:rsidRPr="00413DE0">
              <w:rPr>
                <w:szCs w:val="24"/>
              </w:rPr>
              <w:t>260,</w:t>
            </w:r>
            <w:r w:rsidR="00CA11FB" w:rsidRPr="00413DE0">
              <w:rPr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413DE0" w:rsidRDefault="002C6F7F" w:rsidP="003D463D">
            <w:pPr>
              <w:keepNext/>
              <w:jc w:val="center"/>
              <w:rPr>
                <w:szCs w:val="24"/>
              </w:rPr>
            </w:pPr>
            <w:r w:rsidRPr="00413DE0">
              <w:rPr>
                <w:szCs w:val="24"/>
              </w:rPr>
              <w:t>310</w:t>
            </w:r>
          </w:p>
        </w:tc>
        <w:tc>
          <w:tcPr>
            <w:tcW w:w="1038" w:type="dxa"/>
            <w:vAlign w:val="center"/>
          </w:tcPr>
          <w:p w:rsidR="002C6F7F" w:rsidRPr="001118F3" w:rsidRDefault="002C6F7F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480</w:t>
            </w:r>
          </w:p>
        </w:tc>
      </w:tr>
      <w:tr w:rsidR="002C6F7F" w:rsidRPr="001118F3" w:rsidTr="005651F9">
        <w:trPr>
          <w:trHeight w:val="109"/>
        </w:trPr>
        <w:tc>
          <w:tcPr>
            <w:tcW w:w="567" w:type="dxa"/>
          </w:tcPr>
          <w:p w:rsidR="002C6F7F" w:rsidRPr="001118F3" w:rsidRDefault="002C6F7F" w:rsidP="003D463D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:rsidR="002C6F7F" w:rsidRPr="001118F3" w:rsidRDefault="002C6F7F" w:rsidP="003D463D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 xml:space="preserve">Численность постоянного населения, </w:t>
            </w:r>
            <w:r w:rsidR="007F0F6F">
              <w:rPr>
                <w:szCs w:val="24"/>
              </w:rPr>
              <w:br/>
            </w:r>
            <w:r w:rsidRPr="001118F3">
              <w:rPr>
                <w:szCs w:val="24"/>
              </w:rPr>
              <w:t>тыс. 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413DE0" w:rsidRDefault="002C6F7F" w:rsidP="003D463D">
            <w:pPr>
              <w:keepNext/>
              <w:ind w:left="34" w:hanging="34"/>
              <w:contextualSpacing/>
              <w:jc w:val="center"/>
              <w:rPr>
                <w:kern w:val="24"/>
                <w:szCs w:val="24"/>
              </w:rPr>
            </w:pPr>
            <w:r w:rsidRPr="00413DE0">
              <w:rPr>
                <w:kern w:val="24"/>
                <w:szCs w:val="24"/>
              </w:rPr>
              <w:t>691,1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413DE0" w:rsidRDefault="002C6F7F" w:rsidP="003D463D">
            <w:pPr>
              <w:keepNext/>
              <w:ind w:left="34" w:hanging="34"/>
              <w:contextualSpacing/>
              <w:jc w:val="center"/>
              <w:rPr>
                <w:iCs/>
                <w:kern w:val="24"/>
                <w:szCs w:val="24"/>
              </w:rPr>
            </w:pPr>
            <w:r w:rsidRPr="00413DE0">
              <w:rPr>
                <w:iCs/>
                <w:kern w:val="24"/>
                <w:szCs w:val="24"/>
              </w:rPr>
              <w:t>695,7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F7F" w:rsidRPr="00413DE0" w:rsidRDefault="002C6F7F" w:rsidP="003D463D">
            <w:pPr>
              <w:keepNext/>
              <w:ind w:left="34" w:hanging="34"/>
              <w:contextualSpacing/>
              <w:jc w:val="center"/>
              <w:rPr>
                <w:iCs/>
                <w:kern w:val="24"/>
                <w:szCs w:val="24"/>
                <w:lang w:val="en-US"/>
              </w:rPr>
            </w:pPr>
            <w:r w:rsidRPr="00413DE0">
              <w:rPr>
                <w:iCs/>
                <w:kern w:val="24"/>
                <w:szCs w:val="24"/>
              </w:rPr>
              <w:t>699,</w:t>
            </w:r>
            <w:r w:rsidRPr="00413DE0">
              <w:rPr>
                <w:iCs/>
                <w:kern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6F7F" w:rsidRPr="00413DE0" w:rsidRDefault="002C6F7F" w:rsidP="003D463D">
            <w:pPr>
              <w:keepNext/>
              <w:ind w:left="34" w:hanging="34"/>
              <w:contextualSpacing/>
              <w:jc w:val="center"/>
              <w:rPr>
                <w:iCs/>
                <w:kern w:val="24"/>
                <w:szCs w:val="24"/>
              </w:rPr>
            </w:pPr>
            <w:r w:rsidRPr="00413DE0">
              <w:rPr>
                <w:iCs/>
                <w:kern w:val="24"/>
                <w:szCs w:val="24"/>
              </w:rPr>
              <w:t>700,3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413DE0" w:rsidRDefault="002C6F7F" w:rsidP="003D463D">
            <w:pPr>
              <w:keepNext/>
              <w:ind w:left="34" w:hanging="34"/>
              <w:contextualSpacing/>
              <w:jc w:val="center"/>
              <w:rPr>
                <w:iCs/>
                <w:kern w:val="24"/>
                <w:szCs w:val="24"/>
              </w:rPr>
            </w:pPr>
            <w:r w:rsidRPr="00413DE0">
              <w:rPr>
                <w:iCs/>
                <w:kern w:val="24"/>
                <w:szCs w:val="24"/>
              </w:rPr>
              <w:t>698,1</w:t>
            </w:r>
          </w:p>
        </w:tc>
        <w:tc>
          <w:tcPr>
            <w:tcW w:w="1134" w:type="dxa"/>
            <w:vAlign w:val="center"/>
          </w:tcPr>
          <w:p w:rsidR="002C6F7F" w:rsidRPr="00413DE0" w:rsidRDefault="002C6F7F" w:rsidP="00F33478">
            <w:pPr>
              <w:keepNext/>
              <w:ind w:left="34" w:hanging="34"/>
              <w:contextualSpacing/>
              <w:jc w:val="center"/>
              <w:rPr>
                <w:iCs/>
                <w:kern w:val="24"/>
                <w:szCs w:val="24"/>
              </w:rPr>
            </w:pPr>
            <w:r w:rsidRPr="00413DE0">
              <w:rPr>
                <w:iCs/>
                <w:kern w:val="24"/>
                <w:szCs w:val="24"/>
              </w:rPr>
              <w:t>696,</w:t>
            </w:r>
            <w:r w:rsidR="00F33478" w:rsidRPr="00413DE0">
              <w:rPr>
                <w:iCs/>
                <w:kern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F7F" w:rsidRPr="00413DE0" w:rsidRDefault="002C6F7F" w:rsidP="003D463D">
            <w:pPr>
              <w:keepNext/>
              <w:ind w:left="34" w:hanging="34"/>
              <w:contextualSpacing/>
              <w:jc w:val="center"/>
              <w:rPr>
                <w:kern w:val="24"/>
                <w:szCs w:val="24"/>
              </w:rPr>
            </w:pPr>
            <w:r w:rsidRPr="00413DE0">
              <w:rPr>
                <w:iCs/>
                <w:kern w:val="24"/>
                <w:szCs w:val="24"/>
              </w:rPr>
              <w:t>715</w:t>
            </w:r>
          </w:p>
        </w:tc>
        <w:tc>
          <w:tcPr>
            <w:tcW w:w="1038" w:type="dxa"/>
            <w:vAlign w:val="center"/>
          </w:tcPr>
          <w:p w:rsidR="002C6F7F" w:rsidRPr="001118F3" w:rsidRDefault="002C6F7F" w:rsidP="003D463D">
            <w:pPr>
              <w:keepNext/>
              <w:ind w:left="34" w:hanging="34"/>
              <w:contextualSpacing/>
              <w:jc w:val="center"/>
              <w:rPr>
                <w:iCs/>
                <w:kern w:val="24"/>
                <w:szCs w:val="24"/>
              </w:rPr>
            </w:pPr>
            <w:r w:rsidRPr="001118F3">
              <w:rPr>
                <w:iCs/>
                <w:kern w:val="24"/>
                <w:szCs w:val="24"/>
              </w:rPr>
              <w:t>725</w:t>
            </w:r>
          </w:p>
        </w:tc>
      </w:tr>
      <w:tr w:rsidR="005106E4" w:rsidRPr="001118F3" w:rsidTr="005651F9">
        <w:trPr>
          <w:trHeight w:val="109"/>
        </w:trPr>
        <w:tc>
          <w:tcPr>
            <w:tcW w:w="567" w:type="dxa"/>
          </w:tcPr>
          <w:p w:rsidR="005106E4" w:rsidRPr="001118F3" w:rsidRDefault="000035D2" w:rsidP="003D463D">
            <w:pPr>
              <w:keepNext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106E4" w:rsidRPr="001118F3" w:rsidRDefault="005106E4" w:rsidP="003F31D5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Обеспеченность жильем на душу населения, кв</w:t>
            </w:r>
            <w:proofErr w:type="gramStart"/>
            <w:r w:rsidRPr="001118F3">
              <w:rPr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5106E4" w:rsidRPr="00413DE0" w:rsidRDefault="005106E4" w:rsidP="00AB33CE">
            <w:pPr>
              <w:keepNext/>
              <w:jc w:val="center"/>
              <w:rPr>
                <w:szCs w:val="24"/>
              </w:rPr>
            </w:pPr>
            <w:r w:rsidRPr="00413DE0">
              <w:rPr>
                <w:szCs w:val="24"/>
              </w:rPr>
              <w:t>21,</w:t>
            </w:r>
            <w:r w:rsidR="00AB33CE" w:rsidRPr="00413DE0">
              <w:rPr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E4" w:rsidRPr="00413DE0" w:rsidRDefault="005106E4" w:rsidP="003F31D5">
            <w:pPr>
              <w:keepNext/>
              <w:jc w:val="center"/>
              <w:rPr>
                <w:szCs w:val="24"/>
              </w:rPr>
            </w:pPr>
            <w:r w:rsidRPr="00413DE0">
              <w:rPr>
                <w:szCs w:val="24"/>
              </w:rPr>
              <w:t>21,6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6E4" w:rsidRPr="00413DE0" w:rsidRDefault="005106E4" w:rsidP="003F31D5">
            <w:pPr>
              <w:keepNext/>
              <w:jc w:val="center"/>
              <w:rPr>
                <w:szCs w:val="24"/>
              </w:rPr>
            </w:pPr>
            <w:r w:rsidRPr="00413DE0">
              <w:rPr>
                <w:szCs w:val="24"/>
              </w:rPr>
              <w:t>22,2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06E4" w:rsidRPr="00413DE0" w:rsidRDefault="005106E4" w:rsidP="00146885">
            <w:pPr>
              <w:keepNext/>
              <w:jc w:val="center"/>
              <w:rPr>
                <w:szCs w:val="24"/>
              </w:rPr>
            </w:pPr>
            <w:r w:rsidRPr="00413DE0">
              <w:rPr>
                <w:szCs w:val="24"/>
              </w:rPr>
              <w:t>22,</w:t>
            </w:r>
            <w:r w:rsidR="00146885" w:rsidRPr="00413DE0">
              <w:rPr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E4" w:rsidRPr="00413DE0" w:rsidRDefault="005106E4" w:rsidP="003F31D5">
            <w:pPr>
              <w:keepNext/>
              <w:jc w:val="center"/>
              <w:rPr>
                <w:szCs w:val="24"/>
              </w:rPr>
            </w:pPr>
            <w:r w:rsidRPr="00413DE0">
              <w:rPr>
                <w:szCs w:val="24"/>
              </w:rPr>
              <w:t>23,6</w:t>
            </w:r>
          </w:p>
        </w:tc>
        <w:tc>
          <w:tcPr>
            <w:tcW w:w="1134" w:type="dxa"/>
            <w:vAlign w:val="center"/>
          </w:tcPr>
          <w:p w:rsidR="005106E4" w:rsidRPr="00413DE0" w:rsidRDefault="005106E4" w:rsidP="003F31D5">
            <w:pPr>
              <w:keepNext/>
              <w:jc w:val="center"/>
              <w:rPr>
                <w:szCs w:val="24"/>
              </w:rPr>
            </w:pPr>
            <w:r w:rsidRPr="00413DE0">
              <w:rPr>
                <w:szCs w:val="24"/>
              </w:rPr>
              <w:t>23,9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E4" w:rsidRPr="00413DE0" w:rsidRDefault="005106E4" w:rsidP="003F31D5">
            <w:pPr>
              <w:keepNext/>
              <w:jc w:val="center"/>
              <w:rPr>
                <w:szCs w:val="24"/>
              </w:rPr>
            </w:pPr>
            <w:r w:rsidRPr="00413DE0">
              <w:rPr>
                <w:szCs w:val="24"/>
              </w:rPr>
              <w:t>25</w:t>
            </w:r>
          </w:p>
        </w:tc>
        <w:tc>
          <w:tcPr>
            <w:tcW w:w="1038" w:type="dxa"/>
            <w:vAlign w:val="center"/>
          </w:tcPr>
          <w:p w:rsidR="005106E4" w:rsidRPr="001118F3" w:rsidRDefault="005106E4" w:rsidP="003F31D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26</w:t>
            </w:r>
          </w:p>
        </w:tc>
      </w:tr>
      <w:tr w:rsidR="005106E4" w:rsidRPr="001118F3" w:rsidTr="005651F9">
        <w:trPr>
          <w:trHeight w:val="109"/>
        </w:trPr>
        <w:tc>
          <w:tcPr>
            <w:tcW w:w="567" w:type="dxa"/>
          </w:tcPr>
          <w:p w:rsidR="005106E4" w:rsidRPr="001118F3" w:rsidRDefault="000035D2" w:rsidP="003D463D">
            <w:pPr>
              <w:keepNext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5106E4" w:rsidRPr="001118F3">
              <w:rPr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5106E4" w:rsidRPr="001118F3" w:rsidRDefault="005106E4" w:rsidP="003D463D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 xml:space="preserve">Доступность социально значимых учреждений для </w:t>
            </w:r>
            <w:proofErr w:type="spellStart"/>
            <w:r w:rsidRPr="001118F3">
              <w:rPr>
                <w:szCs w:val="24"/>
              </w:rPr>
              <w:t>маломобильных</w:t>
            </w:r>
            <w:proofErr w:type="spellEnd"/>
            <w:r w:rsidRPr="001118F3">
              <w:rPr>
                <w:szCs w:val="24"/>
              </w:rPr>
              <w:t xml:space="preserve"> групп граждан (доля приспособленных зданий и помещений),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E4" w:rsidRPr="00413DE0" w:rsidRDefault="005106E4" w:rsidP="003D463D">
            <w:pPr>
              <w:keepNext/>
              <w:jc w:val="center"/>
              <w:rPr>
                <w:szCs w:val="24"/>
              </w:rPr>
            </w:pPr>
            <w:r w:rsidRPr="00413DE0">
              <w:rPr>
                <w:szCs w:val="24"/>
              </w:rPr>
              <w:t>48</w:t>
            </w:r>
            <w:r w:rsidR="00047B8B" w:rsidRPr="00413DE0">
              <w:rPr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E4" w:rsidRPr="00413DE0" w:rsidRDefault="005106E4" w:rsidP="003D463D">
            <w:pPr>
              <w:keepNext/>
              <w:jc w:val="center"/>
              <w:rPr>
                <w:szCs w:val="24"/>
              </w:rPr>
            </w:pPr>
            <w:r w:rsidRPr="00413DE0">
              <w:rPr>
                <w:szCs w:val="24"/>
              </w:rPr>
              <w:t>15</w:t>
            </w:r>
            <w:r w:rsidR="00047B8B" w:rsidRPr="00413DE0">
              <w:rPr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6E4" w:rsidRPr="00413DE0" w:rsidRDefault="005106E4" w:rsidP="003D463D">
            <w:pPr>
              <w:keepNext/>
              <w:jc w:val="center"/>
              <w:rPr>
                <w:szCs w:val="24"/>
              </w:rPr>
            </w:pPr>
            <w:r w:rsidRPr="00413DE0">
              <w:rPr>
                <w:szCs w:val="24"/>
              </w:rPr>
              <w:t>25</w:t>
            </w:r>
            <w:r w:rsidR="00047B8B" w:rsidRPr="00413DE0">
              <w:rPr>
                <w:szCs w:val="24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06E4" w:rsidRPr="00413DE0" w:rsidRDefault="005106E4" w:rsidP="003D463D">
            <w:pPr>
              <w:keepNext/>
              <w:jc w:val="center"/>
              <w:rPr>
                <w:szCs w:val="24"/>
              </w:rPr>
            </w:pPr>
            <w:r w:rsidRPr="00413DE0">
              <w:rPr>
                <w:szCs w:val="24"/>
              </w:rPr>
              <w:t>30</w:t>
            </w:r>
            <w:r w:rsidR="00047B8B" w:rsidRPr="00413DE0">
              <w:rPr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E4" w:rsidRPr="00413DE0" w:rsidRDefault="005106E4" w:rsidP="003D463D">
            <w:pPr>
              <w:keepNext/>
              <w:jc w:val="center"/>
              <w:rPr>
                <w:szCs w:val="24"/>
              </w:rPr>
            </w:pPr>
            <w:r w:rsidRPr="00413DE0">
              <w:rPr>
                <w:szCs w:val="24"/>
              </w:rPr>
              <w:t>38</w:t>
            </w:r>
            <w:r w:rsidR="00047B8B" w:rsidRPr="00413DE0">
              <w:rPr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5106E4" w:rsidRPr="00413DE0" w:rsidRDefault="005106E4" w:rsidP="003D463D">
            <w:pPr>
              <w:keepNext/>
              <w:jc w:val="center"/>
              <w:rPr>
                <w:szCs w:val="24"/>
              </w:rPr>
            </w:pPr>
            <w:r w:rsidRPr="00413DE0"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E4" w:rsidRPr="00413DE0" w:rsidRDefault="005106E4" w:rsidP="003D463D">
            <w:pPr>
              <w:keepNext/>
              <w:jc w:val="center"/>
              <w:rPr>
                <w:szCs w:val="24"/>
              </w:rPr>
            </w:pPr>
            <w:r w:rsidRPr="00413DE0">
              <w:rPr>
                <w:szCs w:val="24"/>
              </w:rPr>
              <w:t>80</w:t>
            </w:r>
            <w:r w:rsidR="00047B8B" w:rsidRPr="00413DE0">
              <w:rPr>
                <w:szCs w:val="24"/>
              </w:rPr>
              <w:t>,0</w:t>
            </w:r>
          </w:p>
        </w:tc>
        <w:tc>
          <w:tcPr>
            <w:tcW w:w="1038" w:type="dxa"/>
            <w:vAlign w:val="center"/>
          </w:tcPr>
          <w:p w:rsidR="005106E4" w:rsidRPr="001118F3" w:rsidRDefault="005106E4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100</w:t>
            </w:r>
            <w:r w:rsidR="00047B8B">
              <w:rPr>
                <w:szCs w:val="24"/>
              </w:rPr>
              <w:t>,0</w:t>
            </w:r>
          </w:p>
        </w:tc>
      </w:tr>
      <w:tr w:rsidR="005106E4" w:rsidRPr="001118F3" w:rsidTr="005651F9">
        <w:trPr>
          <w:trHeight w:val="109"/>
        </w:trPr>
        <w:tc>
          <w:tcPr>
            <w:tcW w:w="567" w:type="dxa"/>
          </w:tcPr>
          <w:p w:rsidR="005106E4" w:rsidRPr="001118F3" w:rsidRDefault="000035D2" w:rsidP="003D463D">
            <w:pPr>
              <w:keepNext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5106E4" w:rsidRPr="001118F3">
              <w:rPr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047B8B" w:rsidRPr="001118F3" w:rsidRDefault="005106E4" w:rsidP="003D463D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Посещаемость культурно-досуговых мероприятий,  посещений на 1 жителя в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E4" w:rsidRPr="001118F3" w:rsidRDefault="005106E4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E4" w:rsidRPr="001118F3" w:rsidRDefault="005106E4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0,26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6E4" w:rsidRPr="001118F3" w:rsidRDefault="005106E4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06E4" w:rsidRPr="001118F3" w:rsidRDefault="005106E4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E4" w:rsidRPr="001118F3" w:rsidRDefault="005106E4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0,4</w:t>
            </w:r>
          </w:p>
        </w:tc>
        <w:tc>
          <w:tcPr>
            <w:tcW w:w="1134" w:type="dxa"/>
            <w:vAlign w:val="center"/>
          </w:tcPr>
          <w:p w:rsidR="005106E4" w:rsidRPr="001118F3" w:rsidRDefault="005106E4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E4" w:rsidRPr="001118F3" w:rsidRDefault="005106E4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 w:rsidR="005106E4" w:rsidRPr="001118F3" w:rsidRDefault="005106E4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2,3</w:t>
            </w:r>
          </w:p>
        </w:tc>
      </w:tr>
      <w:tr w:rsidR="005106E4" w:rsidRPr="001118F3" w:rsidTr="005651F9">
        <w:trPr>
          <w:trHeight w:val="109"/>
        </w:trPr>
        <w:tc>
          <w:tcPr>
            <w:tcW w:w="567" w:type="dxa"/>
          </w:tcPr>
          <w:p w:rsidR="005106E4" w:rsidRPr="001118F3" w:rsidRDefault="000035D2" w:rsidP="001E20FC">
            <w:pPr>
              <w:keepNext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387" w:type="dxa"/>
            <w:shd w:val="clear" w:color="auto" w:fill="auto"/>
          </w:tcPr>
          <w:p w:rsidR="009718FD" w:rsidRPr="001118F3" w:rsidRDefault="005106E4" w:rsidP="001E20FC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Доля благоустроенного жилья от общего количества,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E4" w:rsidRPr="001118F3" w:rsidRDefault="005106E4" w:rsidP="001E20FC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E4" w:rsidRPr="001118F3" w:rsidRDefault="005106E4" w:rsidP="001E20FC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6E4" w:rsidRPr="001118F3" w:rsidRDefault="005106E4" w:rsidP="001E20FC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80,3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06E4" w:rsidRPr="001118F3" w:rsidRDefault="005106E4" w:rsidP="001E20FC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E4" w:rsidRPr="001118F3" w:rsidRDefault="005106E4" w:rsidP="001E20FC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78,11</w:t>
            </w:r>
          </w:p>
        </w:tc>
        <w:tc>
          <w:tcPr>
            <w:tcW w:w="1134" w:type="dxa"/>
            <w:vAlign w:val="center"/>
          </w:tcPr>
          <w:p w:rsidR="005106E4" w:rsidRPr="001118F3" w:rsidRDefault="005106E4" w:rsidP="001E20FC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E4" w:rsidRPr="001118F3" w:rsidRDefault="005106E4" w:rsidP="001E20FC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83</w:t>
            </w:r>
            <w:r w:rsidR="00047B8B">
              <w:rPr>
                <w:szCs w:val="24"/>
              </w:rPr>
              <w:t>,0</w:t>
            </w:r>
          </w:p>
        </w:tc>
        <w:tc>
          <w:tcPr>
            <w:tcW w:w="1038" w:type="dxa"/>
            <w:vAlign w:val="center"/>
          </w:tcPr>
          <w:p w:rsidR="005106E4" w:rsidRPr="001118F3" w:rsidRDefault="005106E4" w:rsidP="001E20FC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90</w:t>
            </w:r>
            <w:r w:rsidR="00047B8B">
              <w:rPr>
                <w:szCs w:val="24"/>
              </w:rPr>
              <w:t>,0</w:t>
            </w:r>
          </w:p>
        </w:tc>
      </w:tr>
      <w:tr w:rsidR="005106E4" w:rsidRPr="001118F3" w:rsidTr="005651F9">
        <w:trPr>
          <w:trHeight w:val="109"/>
        </w:trPr>
        <w:tc>
          <w:tcPr>
            <w:tcW w:w="567" w:type="dxa"/>
          </w:tcPr>
          <w:p w:rsidR="005106E4" w:rsidRPr="001118F3" w:rsidRDefault="000035D2" w:rsidP="003D463D">
            <w:pPr>
              <w:keepNext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5106E4" w:rsidRPr="001118F3">
              <w:rPr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5106E4" w:rsidRPr="001118F3" w:rsidRDefault="005106E4" w:rsidP="003D463D">
            <w:pPr>
              <w:keepNext/>
              <w:autoSpaceDE w:val="0"/>
              <w:autoSpaceDN w:val="0"/>
              <w:adjustRightInd w:val="0"/>
              <w:rPr>
                <w:szCs w:val="24"/>
              </w:rPr>
            </w:pPr>
            <w:r w:rsidRPr="001118F3">
              <w:rPr>
                <w:szCs w:val="24"/>
              </w:rPr>
              <w:t>Темп роста инвестиций в основной капитал за счет всех источников финансирования (в сопоставимых ценах),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E4" w:rsidRPr="001118F3" w:rsidRDefault="005106E4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111,3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E4" w:rsidRPr="001118F3" w:rsidRDefault="005106E4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6E4" w:rsidRPr="001118F3" w:rsidRDefault="005106E4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119,4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06E4" w:rsidRPr="001118F3" w:rsidRDefault="0073253F" w:rsidP="003D463D">
            <w:pPr>
              <w:keepNext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F79CE">
              <w:rPr>
                <w:szCs w:val="24"/>
              </w:rPr>
              <w:t>76,4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E4" w:rsidRPr="001118F3" w:rsidRDefault="005106E4" w:rsidP="003D463D">
            <w:pPr>
              <w:keepNext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98,3</w:t>
            </w:r>
          </w:p>
        </w:tc>
        <w:tc>
          <w:tcPr>
            <w:tcW w:w="1134" w:type="dxa"/>
            <w:vAlign w:val="center"/>
          </w:tcPr>
          <w:p w:rsidR="005106E4" w:rsidRPr="001118F3" w:rsidRDefault="005106E4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102,3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:rsidR="005106E4" w:rsidRPr="001118F3" w:rsidRDefault="005106E4" w:rsidP="007B7DC5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112</w:t>
            </w:r>
            <w:r w:rsidR="00047B8B">
              <w:rPr>
                <w:szCs w:val="24"/>
              </w:rPr>
              <w:t>,0</w:t>
            </w:r>
            <w:r w:rsidRPr="001118F3">
              <w:rPr>
                <w:szCs w:val="24"/>
              </w:rPr>
              <w:t xml:space="preserve"> - 115</w:t>
            </w:r>
            <w:r w:rsidR="00047B8B">
              <w:rPr>
                <w:szCs w:val="24"/>
              </w:rPr>
              <w:t>,0</w:t>
            </w:r>
            <w:r w:rsidR="00817784">
              <w:rPr>
                <w:szCs w:val="24"/>
              </w:rPr>
              <w:t xml:space="preserve"> в год</w:t>
            </w:r>
          </w:p>
        </w:tc>
      </w:tr>
      <w:tr w:rsidR="005106E4" w:rsidRPr="001118F3" w:rsidTr="005651F9">
        <w:trPr>
          <w:trHeight w:val="109"/>
        </w:trPr>
        <w:tc>
          <w:tcPr>
            <w:tcW w:w="567" w:type="dxa"/>
          </w:tcPr>
          <w:p w:rsidR="005106E4" w:rsidRPr="001118F3" w:rsidRDefault="000035D2" w:rsidP="003D463D">
            <w:pPr>
              <w:keepNext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5106E4" w:rsidRPr="001118F3">
              <w:rPr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5106E4" w:rsidRPr="001118F3" w:rsidRDefault="005106E4" w:rsidP="003D463D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Степень износа основных фондов коммунального хозяйства,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E4" w:rsidRPr="001118F3" w:rsidRDefault="005106E4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74</w:t>
            </w:r>
            <w:r w:rsidR="00047B8B">
              <w:rPr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E4" w:rsidRPr="001118F3" w:rsidRDefault="005106E4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6E4" w:rsidRPr="001118F3" w:rsidRDefault="005106E4" w:rsidP="003D463D">
            <w:pPr>
              <w:keepNext/>
              <w:jc w:val="center"/>
              <w:rPr>
                <w:szCs w:val="24"/>
                <w:lang w:val="en-US"/>
              </w:rPr>
            </w:pPr>
            <w:r w:rsidRPr="001118F3">
              <w:rPr>
                <w:szCs w:val="24"/>
              </w:rPr>
              <w:t>7</w:t>
            </w:r>
            <w:r w:rsidRPr="001118F3">
              <w:rPr>
                <w:szCs w:val="24"/>
                <w:lang w:val="en-US"/>
              </w:rPr>
              <w:t>3</w:t>
            </w:r>
            <w:r w:rsidRPr="001118F3">
              <w:rPr>
                <w:szCs w:val="24"/>
              </w:rPr>
              <w:t>,</w:t>
            </w:r>
            <w:r w:rsidRPr="001118F3">
              <w:rPr>
                <w:szCs w:val="24"/>
                <w:lang w:val="en-US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06E4" w:rsidRPr="001118F3" w:rsidRDefault="005106E4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E4" w:rsidRPr="001118F3" w:rsidRDefault="005106E4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75,6</w:t>
            </w:r>
          </w:p>
        </w:tc>
        <w:tc>
          <w:tcPr>
            <w:tcW w:w="1134" w:type="dxa"/>
            <w:vAlign w:val="center"/>
          </w:tcPr>
          <w:p w:rsidR="005106E4" w:rsidRPr="001118F3" w:rsidRDefault="005106E4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75,63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E4" w:rsidRPr="001118F3" w:rsidRDefault="005106E4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72</w:t>
            </w:r>
            <w:r w:rsidR="00047B8B">
              <w:rPr>
                <w:szCs w:val="24"/>
              </w:rPr>
              <w:t>,0</w:t>
            </w:r>
          </w:p>
        </w:tc>
        <w:tc>
          <w:tcPr>
            <w:tcW w:w="1038" w:type="dxa"/>
            <w:vAlign w:val="center"/>
          </w:tcPr>
          <w:p w:rsidR="005106E4" w:rsidRPr="001118F3" w:rsidRDefault="005106E4" w:rsidP="003D463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70</w:t>
            </w:r>
            <w:r w:rsidR="00047B8B">
              <w:rPr>
                <w:szCs w:val="24"/>
              </w:rPr>
              <w:t>,0</w:t>
            </w:r>
          </w:p>
        </w:tc>
      </w:tr>
      <w:tr w:rsidR="005106E4" w:rsidRPr="001118F3" w:rsidTr="005651F9">
        <w:trPr>
          <w:trHeight w:val="109"/>
        </w:trPr>
        <w:tc>
          <w:tcPr>
            <w:tcW w:w="567" w:type="dxa"/>
          </w:tcPr>
          <w:p w:rsidR="005106E4" w:rsidRPr="001118F3" w:rsidRDefault="000035D2" w:rsidP="003D463D">
            <w:pPr>
              <w:keepNext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5106E4" w:rsidRPr="001118F3">
              <w:rPr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5106E4" w:rsidRPr="001118F3" w:rsidRDefault="005106E4" w:rsidP="00D661BD">
            <w:pPr>
              <w:keepNext/>
              <w:rPr>
                <w:szCs w:val="24"/>
              </w:rPr>
            </w:pPr>
            <w:r w:rsidRPr="001118F3">
              <w:rPr>
                <w:szCs w:val="24"/>
              </w:rPr>
              <w:t>Доля освещенной улично-дорожной сети города,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E4" w:rsidRPr="001118F3" w:rsidRDefault="005106E4" w:rsidP="00D661B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44</w:t>
            </w:r>
            <w:r w:rsidR="00047B8B">
              <w:rPr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E4" w:rsidRPr="001118F3" w:rsidRDefault="005106E4" w:rsidP="00D661B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44,8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6E4" w:rsidRPr="001118F3" w:rsidRDefault="005106E4" w:rsidP="00D661B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45,5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06E4" w:rsidRPr="001118F3" w:rsidRDefault="005106E4" w:rsidP="00D661B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46,3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E4" w:rsidRPr="001118F3" w:rsidRDefault="005106E4" w:rsidP="00D661B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47,1</w:t>
            </w:r>
          </w:p>
        </w:tc>
        <w:tc>
          <w:tcPr>
            <w:tcW w:w="1134" w:type="dxa"/>
            <w:vAlign w:val="center"/>
          </w:tcPr>
          <w:p w:rsidR="005106E4" w:rsidRPr="001118F3" w:rsidRDefault="005106E4" w:rsidP="00D661B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46,8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E4" w:rsidRPr="001118F3" w:rsidRDefault="005106E4" w:rsidP="00D661B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48,2</w:t>
            </w:r>
          </w:p>
        </w:tc>
        <w:tc>
          <w:tcPr>
            <w:tcW w:w="1038" w:type="dxa"/>
            <w:vAlign w:val="center"/>
          </w:tcPr>
          <w:p w:rsidR="005106E4" w:rsidRPr="001118F3" w:rsidRDefault="005106E4" w:rsidP="00D661BD">
            <w:pPr>
              <w:keepNext/>
              <w:jc w:val="center"/>
              <w:rPr>
                <w:szCs w:val="24"/>
              </w:rPr>
            </w:pPr>
            <w:r w:rsidRPr="001118F3">
              <w:rPr>
                <w:szCs w:val="24"/>
              </w:rPr>
              <w:t>55</w:t>
            </w:r>
            <w:r w:rsidR="00047B8B">
              <w:rPr>
                <w:szCs w:val="24"/>
              </w:rPr>
              <w:t>,0</w:t>
            </w:r>
          </w:p>
        </w:tc>
      </w:tr>
    </w:tbl>
    <w:p w:rsidR="00F7394C" w:rsidRPr="001118F3" w:rsidRDefault="00F7394C" w:rsidP="00951551">
      <w:pPr>
        <w:keepNext/>
        <w:rPr>
          <w:szCs w:val="24"/>
        </w:rPr>
      </w:pPr>
    </w:p>
    <w:sectPr w:rsidR="00F7394C" w:rsidRPr="001118F3" w:rsidSect="00B931F7">
      <w:headerReference w:type="default" r:id="rId7"/>
      <w:headerReference w:type="first" r:id="rId8"/>
      <w:pgSz w:w="16838" w:h="11906" w:orient="landscape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325" w:rsidRDefault="00F80325" w:rsidP="00204319">
      <w:r>
        <w:separator/>
      </w:r>
    </w:p>
  </w:endnote>
  <w:endnote w:type="continuationSeparator" w:id="0">
    <w:p w:rsidR="00F80325" w:rsidRDefault="00F80325" w:rsidP="00204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325" w:rsidRDefault="00F80325" w:rsidP="00204319">
      <w:r>
        <w:separator/>
      </w:r>
    </w:p>
  </w:footnote>
  <w:footnote w:type="continuationSeparator" w:id="0">
    <w:p w:rsidR="00F80325" w:rsidRDefault="00F80325" w:rsidP="00204319">
      <w:r>
        <w:continuationSeparator/>
      </w:r>
    </w:p>
  </w:footnote>
  <w:footnote w:id="1">
    <w:p w:rsidR="009718FD" w:rsidRPr="00497DFF" w:rsidRDefault="009718FD">
      <w:pPr>
        <w:pStyle w:val="a9"/>
        <w:rPr>
          <w:sz w:val="24"/>
          <w:szCs w:val="24"/>
        </w:rPr>
      </w:pPr>
      <w:r w:rsidRPr="00497DFF">
        <w:rPr>
          <w:rStyle w:val="ab"/>
          <w:sz w:val="24"/>
          <w:szCs w:val="24"/>
        </w:rPr>
        <w:footnoteRef/>
      </w:r>
      <w:r w:rsidRPr="00497DFF">
        <w:rPr>
          <w:sz w:val="24"/>
          <w:szCs w:val="24"/>
        </w:rPr>
        <w:t xml:space="preserve"> Плановые значения 2025 года при</w:t>
      </w:r>
      <w:r w:rsidR="005651F9" w:rsidRPr="00497DFF">
        <w:rPr>
          <w:sz w:val="24"/>
          <w:szCs w:val="24"/>
        </w:rPr>
        <w:t>ведены без учета корректировки значений показателей.</w:t>
      </w:r>
    </w:p>
  </w:footnote>
  <w:footnote w:id="2">
    <w:p w:rsidR="002C6F7F" w:rsidRPr="00850E50" w:rsidRDefault="002C6F7F">
      <w:pPr>
        <w:pStyle w:val="a9"/>
        <w:rPr>
          <w:sz w:val="24"/>
          <w:szCs w:val="24"/>
        </w:rPr>
      </w:pPr>
      <w:r w:rsidRPr="00850E50">
        <w:rPr>
          <w:rStyle w:val="ab"/>
          <w:sz w:val="24"/>
          <w:szCs w:val="24"/>
        </w:rPr>
        <w:footnoteRef/>
      </w:r>
      <w:r w:rsidRPr="00850E50">
        <w:rPr>
          <w:sz w:val="24"/>
          <w:szCs w:val="24"/>
        </w:rPr>
        <w:t xml:space="preserve"> Изменилась методика расчета.</w:t>
      </w:r>
    </w:p>
  </w:footnote>
  <w:footnote w:id="3">
    <w:p w:rsidR="002C6F7F" w:rsidRPr="00850E50" w:rsidRDefault="002C6F7F">
      <w:pPr>
        <w:pStyle w:val="a9"/>
        <w:rPr>
          <w:sz w:val="24"/>
          <w:szCs w:val="24"/>
        </w:rPr>
      </w:pPr>
      <w:r w:rsidRPr="00850E50">
        <w:rPr>
          <w:rStyle w:val="ab"/>
          <w:sz w:val="24"/>
          <w:szCs w:val="24"/>
        </w:rPr>
        <w:footnoteRef/>
      </w:r>
      <w:r w:rsidRPr="00850E50">
        <w:rPr>
          <w:sz w:val="24"/>
          <w:szCs w:val="24"/>
        </w:rPr>
        <w:t xml:space="preserve"> Индекс производства пищевых продуктов.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DC5" w:rsidRDefault="0045344A" w:rsidP="0036013A">
    <w:pPr>
      <w:pStyle w:val="a4"/>
      <w:ind w:right="-144"/>
      <w:jc w:val="right"/>
    </w:pPr>
    <w:fldSimple w:instr=" PAGE   \* MERGEFORMAT ">
      <w:r w:rsidR="007F0F6F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1F7" w:rsidRDefault="00B931F7">
    <w:pPr>
      <w:pStyle w:val="a4"/>
      <w:jc w:val="right"/>
    </w:pPr>
  </w:p>
  <w:p w:rsidR="00B931F7" w:rsidRDefault="00B931F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206"/>
    <w:rsid w:val="000022CD"/>
    <w:rsid w:val="000028CC"/>
    <w:rsid w:val="000035D2"/>
    <w:rsid w:val="000051D3"/>
    <w:rsid w:val="000108DF"/>
    <w:rsid w:val="00011DF0"/>
    <w:rsid w:val="000157A9"/>
    <w:rsid w:val="00030AED"/>
    <w:rsid w:val="00034206"/>
    <w:rsid w:val="00037AB8"/>
    <w:rsid w:val="00047B8B"/>
    <w:rsid w:val="00050D85"/>
    <w:rsid w:val="00063826"/>
    <w:rsid w:val="00070CDB"/>
    <w:rsid w:val="00073828"/>
    <w:rsid w:val="00092950"/>
    <w:rsid w:val="00094724"/>
    <w:rsid w:val="000A10CD"/>
    <w:rsid w:val="000A5FDD"/>
    <w:rsid w:val="000A66F3"/>
    <w:rsid w:val="000A72C9"/>
    <w:rsid w:val="000C01F5"/>
    <w:rsid w:val="000C0426"/>
    <w:rsid w:val="000C085D"/>
    <w:rsid w:val="000C7725"/>
    <w:rsid w:val="000D1E3B"/>
    <w:rsid w:val="000D46EB"/>
    <w:rsid w:val="000E3911"/>
    <w:rsid w:val="000E695A"/>
    <w:rsid w:val="000F2625"/>
    <w:rsid w:val="000F30E5"/>
    <w:rsid w:val="000F3368"/>
    <w:rsid w:val="000F79CE"/>
    <w:rsid w:val="000F7C27"/>
    <w:rsid w:val="00102BA4"/>
    <w:rsid w:val="00110218"/>
    <w:rsid w:val="001118F3"/>
    <w:rsid w:val="00112F40"/>
    <w:rsid w:val="00114193"/>
    <w:rsid w:val="00120E02"/>
    <w:rsid w:val="00125656"/>
    <w:rsid w:val="0013280E"/>
    <w:rsid w:val="00135A5A"/>
    <w:rsid w:val="00146885"/>
    <w:rsid w:val="00160A9C"/>
    <w:rsid w:val="00160FB3"/>
    <w:rsid w:val="00163251"/>
    <w:rsid w:val="0016357A"/>
    <w:rsid w:val="00182750"/>
    <w:rsid w:val="00185633"/>
    <w:rsid w:val="001865A0"/>
    <w:rsid w:val="00187C98"/>
    <w:rsid w:val="001920BF"/>
    <w:rsid w:val="001935A5"/>
    <w:rsid w:val="001A37C2"/>
    <w:rsid w:val="001A531A"/>
    <w:rsid w:val="001A6D16"/>
    <w:rsid w:val="001B1069"/>
    <w:rsid w:val="001B3871"/>
    <w:rsid w:val="001B6470"/>
    <w:rsid w:val="001C2966"/>
    <w:rsid w:val="001C60FB"/>
    <w:rsid w:val="001D321F"/>
    <w:rsid w:val="001D4402"/>
    <w:rsid w:val="001E614F"/>
    <w:rsid w:val="001F3F7E"/>
    <w:rsid w:val="001F4CCF"/>
    <w:rsid w:val="00204319"/>
    <w:rsid w:val="002119A5"/>
    <w:rsid w:val="002124B7"/>
    <w:rsid w:val="00214536"/>
    <w:rsid w:val="002166DB"/>
    <w:rsid w:val="00224839"/>
    <w:rsid w:val="00225FA2"/>
    <w:rsid w:val="00227898"/>
    <w:rsid w:val="0023580D"/>
    <w:rsid w:val="00243BBB"/>
    <w:rsid w:val="0025204A"/>
    <w:rsid w:val="00253B82"/>
    <w:rsid w:val="00253E93"/>
    <w:rsid w:val="00260939"/>
    <w:rsid w:val="00267606"/>
    <w:rsid w:val="0028736A"/>
    <w:rsid w:val="002A0170"/>
    <w:rsid w:val="002A3663"/>
    <w:rsid w:val="002B043D"/>
    <w:rsid w:val="002B3662"/>
    <w:rsid w:val="002C1911"/>
    <w:rsid w:val="002C498F"/>
    <w:rsid w:val="002C588D"/>
    <w:rsid w:val="002C6F7F"/>
    <w:rsid w:val="002D0572"/>
    <w:rsid w:val="002D2352"/>
    <w:rsid w:val="002E2189"/>
    <w:rsid w:val="002E3C12"/>
    <w:rsid w:val="002F3D00"/>
    <w:rsid w:val="002F4660"/>
    <w:rsid w:val="002F70A6"/>
    <w:rsid w:val="003260D9"/>
    <w:rsid w:val="003423AD"/>
    <w:rsid w:val="0034496F"/>
    <w:rsid w:val="00350191"/>
    <w:rsid w:val="00350347"/>
    <w:rsid w:val="00353991"/>
    <w:rsid w:val="0035748F"/>
    <w:rsid w:val="0036013A"/>
    <w:rsid w:val="00364ED3"/>
    <w:rsid w:val="0036531B"/>
    <w:rsid w:val="00391AB8"/>
    <w:rsid w:val="00393D2F"/>
    <w:rsid w:val="003A6A9F"/>
    <w:rsid w:val="003B19E5"/>
    <w:rsid w:val="003C4884"/>
    <w:rsid w:val="003C67BB"/>
    <w:rsid w:val="003E3A1F"/>
    <w:rsid w:val="003E57EC"/>
    <w:rsid w:val="003E5896"/>
    <w:rsid w:val="003E58A6"/>
    <w:rsid w:val="003E749E"/>
    <w:rsid w:val="003F0268"/>
    <w:rsid w:val="003F48BA"/>
    <w:rsid w:val="004076A2"/>
    <w:rsid w:val="00412B55"/>
    <w:rsid w:val="00413DE0"/>
    <w:rsid w:val="0041469B"/>
    <w:rsid w:val="00416891"/>
    <w:rsid w:val="0041770C"/>
    <w:rsid w:val="0045168A"/>
    <w:rsid w:val="0045344A"/>
    <w:rsid w:val="004537E4"/>
    <w:rsid w:val="004548CF"/>
    <w:rsid w:val="00454D5D"/>
    <w:rsid w:val="0046257C"/>
    <w:rsid w:val="004813FE"/>
    <w:rsid w:val="004836AC"/>
    <w:rsid w:val="00484670"/>
    <w:rsid w:val="00496304"/>
    <w:rsid w:val="00497DFF"/>
    <w:rsid w:val="00497F55"/>
    <w:rsid w:val="004A723C"/>
    <w:rsid w:val="004C0A3D"/>
    <w:rsid w:val="004D45B7"/>
    <w:rsid w:val="004E11A7"/>
    <w:rsid w:val="004E7E3F"/>
    <w:rsid w:val="005106E4"/>
    <w:rsid w:val="0051335C"/>
    <w:rsid w:val="00514846"/>
    <w:rsid w:val="00517C7E"/>
    <w:rsid w:val="00524131"/>
    <w:rsid w:val="00530D9F"/>
    <w:rsid w:val="00537D15"/>
    <w:rsid w:val="00551165"/>
    <w:rsid w:val="00553C95"/>
    <w:rsid w:val="005575BB"/>
    <w:rsid w:val="005651F9"/>
    <w:rsid w:val="00565243"/>
    <w:rsid w:val="00567750"/>
    <w:rsid w:val="005711E6"/>
    <w:rsid w:val="00581E0E"/>
    <w:rsid w:val="005848F1"/>
    <w:rsid w:val="00590306"/>
    <w:rsid w:val="0059723D"/>
    <w:rsid w:val="005A2746"/>
    <w:rsid w:val="005B15CA"/>
    <w:rsid w:val="005C5422"/>
    <w:rsid w:val="005C7DE6"/>
    <w:rsid w:val="005D13E3"/>
    <w:rsid w:val="005E71AE"/>
    <w:rsid w:val="00606AE9"/>
    <w:rsid w:val="00616DDB"/>
    <w:rsid w:val="00630AC2"/>
    <w:rsid w:val="00632C35"/>
    <w:rsid w:val="00635003"/>
    <w:rsid w:val="006363BC"/>
    <w:rsid w:val="006562DC"/>
    <w:rsid w:val="0065770F"/>
    <w:rsid w:val="006621F9"/>
    <w:rsid w:val="00662E19"/>
    <w:rsid w:val="0067539A"/>
    <w:rsid w:val="00675617"/>
    <w:rsid w:val="006773D8"/>
    <w:rsid w:val="00677D03"/>
    <w:rsid w:val="0068454F"/>
    <w:rsid w:val="006A285B"/>
    <w:rsid w:val="006B2EC7"/>
    <w:rsid w:val="006B6A37"/>
    <w:rsid w:val="006C0BE9"/>
    <w:rsid w:val="006D1EF2"/>
    <w:rsid w:val="006E1FE8"/>
    <w:rsid w:val="006E6BE5"/>
    <w:rsid w:val="006F0862"/>
    <w:rsid w:val="006F7891"/>
    <w:rsid w:val="006F7BB5"/>
    <w:rsid w:val="007004FC"/>
    <w:rsid w:val="00721184"/>
    <w:rsid w:val="00723864"/>
    <w:rsid w:val="0072477D"/>
    <w:rsid w:val="00726AF4"/>
    <w:rsid w:val="00731F05"/>
    <w:rsid w:val="0073253F"/>
    <w:rsid w:val="0074013E"/>
    <w:rsid w:val="00746B1F"/>
    <w:rsid w:val="00757B2A"/>
    <w:rsid w:val="0076105C"/>
    <w:rsid w:val="007624EE"/>
    <w:rsid w:val="00787864"/>
    <w:rsid w:val="007A1A5E"/>
    <w:rsid w:val="007A4486"/>
    <w:rsid w:val="007A7E93"/>
    <w:rsid w:val="007B01C8"/>
    <w:rsid w:val="007B697E"/>
    <w:rsid w:val="007B7DC5"/>
    <w:rsid w:val="007C1C5C"/>
    <w:rsid w:val="007C4716"/>
    <w:rsid w:val="007C4DB8"/>
    <w:rsid w:val="007C5AB2"/>
    <w:rsid w:val="007E6D2A"/>
    <w:rsid w:val="007F0F6F"/>
    <w:rsid w:val="007F2E60"/>
    <w:rsid w:val="007F3BF1"/>
    <w:rsid w:val="007F723C"/>
    <w:rsid w:val="00802BE9"/>
    <w:rsid w:val="00810B31"/>
    <w:rsid w:val="00817784"/>
    <w:rsid w:val="00817ACF"/>
    <w:rsid w:val="00817BED"/>
    <w:rsid w:val="0082658B"/>
    <w:rsid w:val="00830E02"/>
    <w:rsid w:val="00843A70"/>
    <w:rsid w:val="00845DEA"/>
    <w:rsid w:val="00850E50"/>
    <w:rsid w:val="00850E89"/>
    <w:rsid w:val="00851085"/>
    <w:rsid w:val="00851A36"/>
    <w:rsid w:val="008530CD"/>
    <w:rsid w:val="0085447B"/>
    <w:rsid w:val="00857C6B"/>
    <w:rsid w:val="00862A6D"/>
    <w:rsid w:val="00870F29"/>
    <w:rsid w:val="00873A54"/>
    <w:rsid w:val="00875375"/>
    <w:rsid w:val="00885030"/>
    <w:rsid w:val="0088742D"/>
    <w:rsid w:val="008956E1"/>
    <w:rsid w:val="008A5B58"/>
    <w:rsid w:val="008A7C51"/>
    <w:rsid w:val="008B0E84"/>
    <w:rsid w:val="008C1280"/>
    <w:rsid w:val="008C1F6A"/>
    <w:rsid w:val="008D606A"/>
    <w:rsid w:val="008E19BC"/>
    <w:rsid w:val="008E2E4A"/>
    <w:rsid w:val="008E3D98"/>
    <w:rsid w:val="008F13E4"/>
    <w:rsid w:val="0090455C"/>
    <w:rsid w:val="0090541B"/>
    <w:rsid w:val="00907904"/>
    <w:rsid w:val="00921C99"/>
    <w:rsid w:val="00923455"/>
    <w:rsid w:val="00951551"/>
    <w:rsid w:val="00961875"/>
    <w:rsid w:val="00962C54"/>
    <w:rsid w:val="00962DE5"/>
    <w:rsid w:val="00967239"/>
    <w:rsid w:val="009718FD"/>
    <w:rsid w:val="00973044"/>
    <w:rsid w:val="0097640A"/>
    <w:rsid w:val="00983ACC"/>
    <w:rsid w:val="00984016"/>
    <w:rsid w:val="009859B0"/>
    <w:rsid w:val="00991A68"/>
    <w:rsid w:val="00992D50"/>
    <w:rsid w:val="009967DC"/>
    <w:rsid w:val="009A0542"/>
    <w:rsid w:val="009A0A62"/>
    <w:rsid w:val="009B6B38"/>
    <w:rsid w:val="009C1247"/>
    <w:rsid w:val="009C376E"/>
    <w:rsid w:val="009D4EFC"/>
    <w:rsid w:val="009E243B"/>
    <w:rsid w:val="009E5DCD"/>
    <w:rsid w:val="009F4E3D"/>
    <w:rsid w:val="00A06382"/>
    <w:rsid w:val="00A1050F"/>
    <w:rsid w:val="00A17382"/>
    <w:rsid w:val="00A20F3C"/>
    <w:rsid w:val="00A26B47"/>
    <w:rsid w:val="00A31D85"/>
    <w:rsid w:val="00A34F41"/>
    <w:rsid w:val="00A35628"/>
    <w:rsid w:val="00A369AA"/>
    <w:rsid w:val="00A37FB8"/>
    <w:rsid w:val="00A639F4"/>
    <w:rsid w:val="00A668F6"/>
    <w:rsid w:val="00A67382"/>
    <w:rsid w:val="00A70629"/>
    <w:rsid w:val="00A84B11"/>
    <w:rsid w:val="00A84B73"/>
    <w:rsid w:val="00A84D8D"/>
    <w:rsid w:val="00A86539"/>
    <w:rsid w:val="00A93893"/>
    <w:rsid w:val="00A94290"/>
    <w:rsid w:val="00AA482E"/>
    <w:rsid w:val="00AA4D48"/>
    <w:rsid w:val="00AB33CE"/>
    <w:rsid w:val="00AD0326"/>
    <w:rsid w:val="00AD3052"/>
    <w:rsid w:val="00AD48A0"/>
    <w:rsid w:val="00AE2C2A"/>
    <w:rsid w:val="00AE7D80"/>
    <w:rsid w:val="00AF0E6D"/>
    <w:rsid w:val="00B00020"/>
    <w:rsid w:val="00B02AEA"/>
    <w:rsid w:val="00B04E1C"/>
    <w:rsid w:val="00B0676A"/>
    <w:rsid w:val="00B276BD"/>
    <w:rsid w:val="00B30CC2"/>
    <w:rsid w:val="00B34581"/>
    <w:rsid w:val="00B419A0"/>
    <w:rsid w:val="00B422E9"/>
    <w:rsid w:val="00B43C10"/>
    <w:rsid w:val="00B50BC3"/>
    <w:rsid w:val="00B55593"/>
    <w:rsid w:val="00B65687"/>
    <w:rsid w:val="00B73B6E"/>
    <w:rsid w:val="00B76197"/>
    <w:rsid w:val="00B81254"/>
    <w:rsid w:val="00B82CE4"/>
    <w:rsid w:val="00B90FA0"/>
    <w:rsid w:val="00B91B02"/>
    <w:rsid w:val="00B931F7"/>
    <w:rsid w:val="00B93662"/>
    <w:rsid w:val="00BA09D8"/>
    <w:rsid w:val="00BA3854"/>
    <w:rsid w:val="00BA58C5"/>
    <w:rsid w:val="00BB1E96"/>
    <w:rsid w:val="00BB2420"/>
    <w:rsid w:val="00BB4079"/>
    <w:rsid w:val="00BC07C1"/>
    <w:rsid w:val="00BC38CA"/>
    <w:rsid w:val="00BD12E1"/>
    <w:rsid w:val="00BD62E6"/>
    <w:rsid w:val="00BF10B2"/>
    <w:rsid w:val="00BF337E"/>
    <w:rsid w:val="00C12A1B"/>
    <w:rsid w:val="00C20D1B"/>
    <w:rsid w:val="00C21BA8"/>
    <w:rsid w:val="00C23171"/>
    <w:rsid w:val="00C24C98"/>
    <w:rsid w:val="00C32F41"/>
    <w:rsid w:val="00C3300A"/>
    <w:rsid w:val="00C47636"/>
    <w:rsid w:val="00C5493A"/>
    <w:rsid w:val="00C552FB"/>
    <w:rsid w:val="00C61482"/>
    <w:rsid w:val="00C637FB"/>
    <w:rsid w:val="00C64E8C"/>
    <w:rsid w:val="00C72250"/>
    <w:rsid w:val="00C75E4D"/>
    <w:rsid w:val="00C8314E"/>
    <w:rsid w:val="00C95CA9"/>
    <w:rsid w:val="00CA11FB"/>
    <w:rsid w:val="00CA1F6C"/>
    <w:rsid w:val="00CA2A8F"/>
    <w:rsid w:val="00CA55DD"/>
    <w:rsid w:val="00CB3A26"/>
    <w:rsid w:val="00CB6D88"/>
    <w:rsid w:val="00CC190D"/>
    <w:rsid w:val="00CC1CF9"/>
    <w:rsid w:val="00CD32B8"/>
    <w:rsid w:val="00CD6CE7"/>
    <w:rsid w:val="00CE04F5"/>
    <w:rsid w:val="00CF12D3"/>
    <w:rsid w:val="00CF1DB4"/>
    <w:rsid w:val="00CF23BF"/>
    <w:rsid w:val="00D00A1B"/>
    <w:rsid w:val="00D03E48"/>
    <w:rsid w:val="00D05CE0"/>
    <w:rsid w:val="00D05F3F"/>
    <w:rsid w:val="00D13DAA"/>
    <w:rsid w:val="00D15F6E"/>
    <w:rsid w:val="00D21486"/>
    <w:rsid w:val="00D218CA"/>
    <w:rsid w:val="00D2264B"/>
    <w:rsid w:val="00D30FA9"/>
    <w:rsid w:val="00D3603D"/>
    <w:rsid w:val="00D36642"/>
    <w:rsid w:val="00D45076"/>
    <w:rsid w:val="00D57465"/>
    <w:rsid w:val="00D630F2"/>
    <w:rsid w:val="00D757FC"/>
    <w:rsid w:val="00D853CB"/>
    <w:rsid w:val="00D90BE4"/>
    <w:rsid w:val="00D94FE9"/>
    <w:rsid w:val="00D96D2F"/>
    <w:rsid w:val="00DA3334"/>
    <w:rsid w:val="00DB0F4E"/>
    <w:rsid w:val="00DB2854"/>
    <w:rsid w:val="00DB2F64"/>
    <w:rsid w:val="00DC1DD0"/>
    <w:rsid w:val="00DC3A75"/>
    <w:rsid w:val="00DC549E"/>
    <w:rsid w:val="00DD05CC"/>
    <w:rsid w:val="00DD224A"/>
    <w:rsid w:val="00DD3102"/>
    <w:rsid w:val="00DD4D8F"/>
    <w:rsid w:val="00DD7E51"/>
    <w:rsid w:val="00DE3BD6"/>
    <w:rsid w:val="00DF6EBE"/>
    <w:rsid w:val="00E04894"/>
    <w:rsid w:val="00E06F05"/>
    <w:rsid w:val="00E075D6"/>
    <w:rsid w:val="00E12AC0"/>
    <w:rsid w:val="00E1340C"/>
    <w:rsid w:val="00E27E67"/>
    <w:rsid w:val="00E50067"/>
    <w:rsid w:val="00E559C3"/>
    <w:rsid w:val="00E562AC"/>
    <w:rsid w:val="00E57091"/>
    <w:rsid w:val="00E60153"/>
    <w:rsid w:val="00E668C3"/>
    <w:rsid w:val="00E67DF4"/>
    <w:rsid w:val="00E70419"/>
    <w:rsid w:val="00E83C8A"/>
    <w:rsid w:val="00E864A5"/>
    <w:rsid w:val="00E9667F"/>
    <w:rsid w:val="00EA0B11"/>
    <w:rsid w:val="00EA3108"/>
    <w:rsid w:val="00EB7F19"/>
    <w:rsid w:val="00EC1301"/>
    <w:rsid w:val="00ED48F1"/>
    <w:rsid w:val="00ED77CA"/>
    <w:rsid w:val="00EE4416"/>
    <w:rsid w:val="00EE6222"/>
    <w:rsid w:val="00EE77C7"/>
    <w:rsid w:val="00EF339E"/>
    <w:rsid w:val="00EF5A17"/>
    <w:rsid w:val="00F012F1"/>
    <w:rsid w:val="00F0556B"/>
    <w:rsid w:val="00F05A64"/>
    <w:rsid w:val="00F169A5"/>
    <w:rsid w:val="00F17BEE"/>
    <w:rsid w:val="00F30356"/>
    <w:rsid w:val="00F33478"/>
    <w:rsid w:val="00F347E8"/>
    <w:rsid w:val="00F4372C"/>
    <w:rsid w:val="00F4451B"/>
    <w:rsid w:val="00F44BF2"/>
    <w:rsid w:val="00F57306"/>
    <w:rsid w:val="00F5787A"/>
    <w:rsid w:val="00F649CA"/>
    <w:rsid w:val="00F65EB9"/>
    <w:rsid w:val="00F7394C"/>
    <w:rsid w:val="00F74A85"/>
    <w:rsid w:val="00F754C1"/>
    <w:rsid w:val="00F777CD"/>
    <w:rsid w:val="00F80325"/>
    <w:rsid w:val="00FA7728"/>
    <w:rsid w:val="00FB01A3"/>
    <w:rsid w:val="00FB792F"/>
    <w:rsid w:val="00FC52D3"/>
    <w:rsid w:val="00FC7D6C"/>
    <w:rsid w:val="00FD2ADC"/>
    <w:rsid w:val="00FE49B7"/>
    <w:rsid w:val="00FE5DC4"/>
    <w:rsid w:val="00FE79A4"/>
    <w:rsid w:val="00FF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3C"/>
    <w:rPr>
      <w:sz w:val="24"/>
      <w:szCs w:val="22"/>
      <w:lang w:eastAsia="en-US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BA58C5"/>
    <w:pPr>
      <w:keepNext/>
      <w:spacing w:before="240" w:after="60"/>
      <w:outlineLvl w:val="1"/>
    </w:pPr>
    <w:rPr>
      <w:rFonts w:ascii="Arial" w:eastAsia="SimSun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034206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03420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aliases w:val="Обычный (Web)"/>
    <w:basedOn w:val="a"/>
    <w:uiPriority w:val="99"/>
    <w:rsid w:val="0016357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link w:val="2"/>
    <w:uiPriority w:val="99"/>
    <w:rsid w:val="00BA58C5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4">
    <w:name w:val="header"/>
    <w:basedOn w:val="a"/>
    <w:link w:val="a5"/>
    <w:uiPriority w:val="99"/>
    <w:unhideWhenUsed/>
    <w:rsid w:val="002043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04319"/>
    <w:rPr>
      <w:sz w:val="24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2043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204319"/>
    <w:rPr>
      <w:sz w:val="24"/>
      <w:szCs w:val="22"/>
      <w:lang w:eastAsia="en-US"/>
    </w:rPr>
  </w:style>
  <w:style w:type="table" w:styleId="a8">
    <w:name w:val="Table Grid"/>
    <w:basedOn w:val="a1"/>
    <w:uiPriority w:val="39"/>
    <w:rsid w:val="00F7394C"/>
    <w:pPr>
      <w:jc w:val="center"/>
    </w:pPr>
    <w:rPr>
      <w:rFonts w:eastAsiaTheme="minorHAns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1B647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B6470"/>
    <w:rPr>
      <w:lang w:eastAsia="en-US"/>
    </w:rPr>
  </w:style>
  <w:style w:type="character" w:styleId="ab">
    <w:name w:val="footnote reference"/>
    <w:basedOn w:val="a0"/>
    <w:uiPriority w:val="99"/>
    <w:semiHidden/>
    <w:unhideWhenUsed/>
    <w:rsid w:val="001B64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4DD618-50E6-439F-96C3-490D4554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ivanova.nm</dc:creator>
  <cp:lastModifiedBy>Ирина В. Кожевникова</cp:lastModifiedBy>
  <cp:revision>22</cp:revision>
  <cp:lastPrinted>2020-04-10T01:45:00Z</cp:lastPrinted>
  <dcterms:created xsi:type="dcterms:W3CDTF">2019-12-02T06:42:00Z</dcterms:created>
  <dcterms:modified xsi:type="dcterms:W3CDTF">2020-04-17T02:55:00Z</dcterms:modified>
</cp:coreProperties>
</file>