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8770" w14:textId="77777777" w:rsidR="005F711C" w:rsidRPr="00B2478E" w:rsidRDefault="00D73E37" w:rsidP="005F711C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</w:pP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Приложение</w:t>
      </w:r>
    </w:p>
    <w:p w14:paraId="2E49916E" w14:textId="77777777" w:rsidR="005F711C" w:rsidRPr="00B2478E" w:rsidRDefault="001E6FE6" w:rsidP="005F711C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</w:pP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УТВЕРЖДЕНА</w:t>
      </w:r>
      <w:r w:rsidR="00D73E37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 xml:space="preserve"> </w:t>
      </w:r>
    </w:p>
    <w:p w14:paraId="575CF636" w14:textId="77777777" w:rsidR="00D73E37" w:rsidRPr="00B2478E" w:rsidRDefault="004C76AD" w:rsidP="005F711C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</w:pP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П</w:t>
      </w:r>
      <w:r w:rsidR="005F711C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риказом</w:t>
      </w: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 xml:space="preserve"> </w:t>
      </w:r>
      <w:r w:rsidR="00D73E37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комитета</w:t>
      </w:r>
      <w:r w:rsidR="005F711C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 xml:space="preserve"> муниципального заказа города Барнаула</w:t>
      </w:r>
    </w:p>
    <w:p w14:paraId="245E59E0" w14:textId="2F352F0A" w:rsidR="00D73E37" w:rsidRPr="00B2478E" w:rsidRDefault="00D73E37" w:rsidP="005F711C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</w:pP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 xml:space="preserve">от </w:t>
      </w:r>
      <w:r w:rsidR="00DE41B6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_</w:t>
      </w:r>
      <w:r w:rsidR="00D038D3">
        <w:rPr>
          <w:rFonts w:ascii="PT Astra Serif" w:eastAsia="Times New Roman" w:hAnsi="PT Astra Serif" w:cs="Times New Roman"/>
          <w:color w:val="000000" w:themeColor="text1"/>
          <w:sz w:val="28"/>
          <w:szCs w:val="20"/>
          <w:u w:val="single"/>
          <w:lang w:eastAsia="ru-RU"/>
        </w:rPr>
        <w:t>11 марта</w:t>
      </w:r>
      <w:r w:rsidR="00DE41B6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_____</w:t>
      </w:r>
      <w:r w:rsidR="007278A8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 xml:space="preserve"> 202</w:t>
      </w:r>
      <w:r w:rsidR="00DE41B6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6 №__</w:t>
      </w:r>
      <w:r w:rsidR="00D038D3">
        <w:rPr>
          <w:rFonts w:ascii="PT Astra Serif" w:eastAsia="Times New Roman" w:hAnsi="PT Astra Serif" w:cs="Times New Roman"/>
          <w:color w:val="000000" w:themeColor="text1"/>
          <w:sz w:val="28"/>
          <w:szCs w:val="20"/>
          <w:u w:val="single"/>
          <w:lang w:eastAsia="ru-RU"/>
        </w:rPr>
        <w:t>7</w:t>
      </w:r>
      <w:r w:rsidR="00DE41B6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___</w:t>
      </w:r>
    </w:p>
    <w:p w14:paraId="52AA9B33" w14:textId="77777777" w:rsidR="00D73E37" w:rsidRPr="00B2478E" w:rsidRDefault="00D73E37" w:rsidP="00D7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</w:p>
    <w:p w14:paraId="7610CF89" w14:textId="77777777" w:rsidR="00D73E37" w:rsidRPr="00B2478E" w:rsidRDefault="00D73E37" w:rsidP="00D73E3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МЕТОДИКА</w:t>
      </w:r>
    </w:p>
    <w:p w14:paraId="7DF6BD11" w14:textId="77777777" w:rsidR="00D73E37" w:rsidRPr="00B2478E" w:rsidRDefault="00D73E37" w:rsidP="00D73E3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прогнозирования поступлений доходов в бюджет города Барнаула</w:t>
      </w:r>
      <w:r w:rsidRPr="00B2478E">
        <w:rPr>
          <w:rFonts w:ascii="PT Astra Serif" w:hAnsi="PT Astra Serif"/>
          <w:color w:val="000000" w:themeColor="text1"/>
        </w:rPr>
        <w:t xml:space="preserve">, </w:t>
      </w: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администрируемых комитетом муниципального заказа города Барнаула</w:t>
      </w:r>
    </w:p>
    <w:p w14:paraId="7DC03094" w14:textId="77777777" w:rsidR="00D73E37" w:rsidRPr="00B2478E" w:rsidRDefault="00D73E37" w:rsidP="00D73E37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</w:p>
    <w:p w14:paraId="5114A443" w14:textId="77777777" w:rsidR="00D73E37" w:rsidRPr="00B2478E" w:rsidRDefault="004C76AD" w:rsidP="00D73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1</w:t>
      </w:r>
      <w:r w:rsidR="00D73E37" w:rsidRPr="00B2478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 Общие положения</w:t>
      </w:r>
    </w:p>
    <w:p w14:paraId="1FEE79FB" w14:textId="77777777" w:rsidR="00D73E37" w:rsidRPr="00B2478E" w:rsidRDefault="00D73E37" w:rsidP="00D73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</w:p>
    <w:p w14:paraId="1ACA4B48" w14:textId="77777777" w:rsidR="00D73E37" w:rsidRPr="00B2478E" w:rsidRDefault="00D73E37" w:rsidP="000415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</w:pP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1.</w:t>
      </w:r>
      <w:r w:rsidR="00655AFF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1.</w:t>
      </w: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 </w:t>
      </w:r>
      <w:r w:rsidR="00C10054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Настоящая методика определяет параметры прогнозирования поступлений по доходам бюджета города</w:t>
      </w:r>
      <w:r w:rsidR="00DB3DC5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 xml:space="preserve"> Барнаула</w:t>
      </w:r>
      <w:r w:rsidR="00C10054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, главным администратором которых является комитет муниципального заказа города Барнаула (далее соответственно — доходы бюджета</w:t>
      </w:r>
      <w:r w:rsidR="000678EE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 xml:space="preserve"> города</w:t>
      </w:r>
      <w:r w:rsidR="00C10054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, главный администратор доходов, методика прогнозирования).</w:t>
      </w:r>
    </w:p>
    <w:p w14:paraId="5DB6CC5E" w14:textId="77777777" w:rsidR="00C10054" w:rsidRPr="00B2478E" w:rsidRDefault="007C36E0" w:rsidP="000415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</w:pP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1.</w:t>
      </w:r>
      <w:r w:rsidR="00C10054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2. Методика    прогнозирования    определяет    порядок    исчисления прогнозного объема посту</w:t>
      </w:r>
      <w:r w:rsidR="00A9736F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плений по каждому виду доходов</w:t>
      </w:r>
      <w:r w:rsidR="00C10054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, методы расчета прогнозного объема поступлений по каждому виду доходов, описание фактического алгоритма расчета (формулу) прогнозируемого объема поступлений по каждому виду доходов.</w:t>
      </w:r>
    </w:p>
    <w:p w14:paraId="48CB095D" w14:textId="77777777" w:rsidR="00AE4804" w:rsidRPr="00B2478E" w:rsidRDefault="007C36E0" w:rsidP="00013C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</w:pP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1.3.</w:t>
      </w:r>
      <w:r w:rsidR="00C10054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 xml:space="preserve"> </w:t>
      </w:r>
      <w:r w:rsidR="00DB3DC5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Прогнозирование поступлений доходов осуществляется на основе бюджетного законодательства Российской Федерации, нормативных муниципальных правовых актов, регулирующих бюджетные правоотношения, действующих на момент составления прогноза доходов с учетом изменений, вступающих в силу в прогнозируемом периоде</w:t>
      </w:r>
      <w:r w:rsidR="00013CD0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.</w:t>
      </w:r>
    </w:p>
    <w:p w14:paraId="30331F1C" w14:textId="77777777" w:rsidR="00C10054" w:rsidRPr="00B2478E" w:rsidRDefault="007C36E0" w:rsidP="000415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</w:pP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1.4</w:t>
      </w:r>
      <w:r w:rsidR="00AE4804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 xml:space="preserve">. </w:t>
      </w:r>
      <w:r w:rsidR="00C10054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При прогнозировании администрируемых доходов применяются следующие методы прогнозирования:</w:t>
      </w:r>
    </w:p>
    <w:p w14:paraId="343D4559" w14:textId="77777777" w:rsidR="0061552F" w:rsidRPr="00B2478E" w:rsidRDefault="0061552F" w:rsidP="000415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</w:pP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прямой расчет – расчет, основанный на непосредственном использовании прогнозных значений показателей, определяющих прогнозный объем поступлен</w:t>
      </w:r>
      <w:r w:rsidR="00BC3789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ий прогнозируемого вида доходов;</w:t>
      </w:r>
    </w:p>
    <w:p w14:paraId="2D9A2872" w14:textId="77777777" w:rsidR="00BC3789" w:rsidRPr="00B2478E" w:rsidRDefault="00BC3789" w:rsidP="000415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</w:pP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иной расчет –  способ, предусматривающий прогнозирование доходов на очередной финансовый год и на плановый период на нулевом уровне, формирование уточненного прогноза доходов на текущий финансовый год на основании оценки поступлений с учетом фактического исполнения бюджета по доходам за истекшие месяцы текущего года.</w:t>
      </w:r>
    </w:p>
    <w:p w14:paraId="0E0E7156" w14:textId="77777777" w:rsidR="00243C35" w:rsidRPr="00B2478E" w:rsidRDefault="00243C35" w:rsidP="008F0A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</w:pP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 xml:space="preserve">1.5. Главный администратор доходов руководствуется настоящей методикой прогнозирования при подготовке материалов по прогнозированию доходов бюджета </w:t>
      </w:r>
      <w:r w:rsidR="006733D8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города</w:t>
      </w: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 xml:space="preserve"> в текущем финансовом году, на очередной финансовый год и на плановый период.</w:t>
      </w:r>
    </w:p>
    <w:p w14:paraId="5B1EB480" w14:textId="675D8395" w:rsidR="006733D8" w:rsidRPr="00B2478E" w:rsidRDefault="006733D8" w:rsidP="006733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</w:pP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 xml:space="preserve">При формировании уточненного прогноза доходов на текущий финансовый год прогнозирование осуществляется с использованием </w:t>
      </w: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lastRenderedPageBreak/>
        <w:t xml:space="preserve">уточненных значений показателей с учетом их фактических значений </w:t>
      </w:r>
      <w:r w:rsid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 xml:space="preserve">                   </w:t>
      </w: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за истекший период текущего года.</w:t>
      </w:r>
    </w:p>
    <w:p w14:paraId="43FF7E8C" w14:textId="183ACE22" w:rsidR="006733D8" w:rsidRPr="00B2478E" w:rsidRDefault="006733D8" w:rsidP="003163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</w:pP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 xml:space="preserve">1.6. Прогнозирование доходов бюджета города осуществляется </w:t>
      </w:r>
      <w:r w:rsid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 xml:space="preserve">                   </w:t>
      </w: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в рублях.</w:t>
      </w:r>
    </w:p>
    <w:p w14:paraId="3BA697DA" w14:textId="77777777" w:rsidR="0031638B" w:rsidRPr="00B2478E" w:rsidRDefault="0031638B" w:rsidP="003163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</w:pPr>
    </w:p>
    <w:p w14:paraId="011C5B9E" w14:textId="77777777" w:rsidR="00AE6DAB" w:rsidRPr="00B2478E" w:rsidRDefault="004C76AD" w:rsidP="00655A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</w:pP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2</w:t>
      </w:r>
      <w:r w:rsidR="008F0A3E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 xml:space="preserve">. </w:t>
      </w:r>
      <w:r w:rsidR="00074A87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Прогнозирование доходов</w:t>
      </w:r>
    </w:p>
    <w:p w14:paraId="37F37293" w14:textId="77777777" w:rsidR="00074A87" w:rsidRPr="00B2478E" w:rsidRDefault="00074A87" w:rsidP="00655A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</w:pPr>
    </w:p>
    <w:p w14:paraId="117F3165" w14:textId="4C4C2B3E" w:rsidR="000E18F9" w:rsidRPr="00B2478E" w:rsidRDefault="007C36E0" w:rsidP="000E1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</w:pP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2.1</w:t>
      </w:r>
      <w:r w:rsidR="008231F3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 xml:space="preserve">. </w:t>
      </w:r>
      <w:r w:rsidR="000E18F9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 xml:space="preserve">Доходы подразделяются на прогнозируемые </w:t>
      </w:r>
      <w:r w:rsid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 xml:space="preserve">                                           </w:t>
      </w:r>
      <w:r w:rsidR="000E18F9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и непрогнозируемые, но фактически поступающие в доход бюджета города.</w:t>
      </w:r>
    </w:p>
    <w:p w14:paraId="5796B347" w14:textId="77777777" w:rsidR="000E18F9" w:rsidRPr="00B2478E" w:rsidRDefault="000E18F9" w:rsidP="000E1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</w:pP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2.2. В состав прогно</w:t>
      </w:r>
      <w:r w:rsidR="00D10FC3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зируемых доходов включаю</w:t>
      </w: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тся:</w:t>
      </w:r>
    </w:p>
    <w:p w14:paraId="4B687E7D" w14:textId="77777777" w:rsidR="000E18F9" w:rsidRPr="00B2478E" w:rsidRDefault="000E18F9" w:rsidP="000E1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</w:pP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</w:r>
    </w:p>
    <w:p w14:paraId="02C95722" w14:textId="77777777" w:rsidR="000E18F9" w:rsidRPr="00B2478E" w:rsidRDefault="000E18F9" w:rsidP="000E1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</w:pP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2.3. К непрогнозируемым доходам относятся:</w:t>
      </w:r>
    </w:p>
    <w:p w14:paraId="01205F0A" w14:textId="77777777" w:rsidR="000E18F9" w:rsidRPr="00B2478E" w:rsidRDefault="000E18F9" w:rsidP="000E1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</w:pP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невыясненные поступления, зачисляе</w:t>
      </w:r>
      <w:r w:rsidR="00DE41B6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мые в бюджеты городских округов;</w:t>
      </w:r>
    </w:p>
    <w:p w14:paraId="51EAB224" w14:textId="77777777" w:rsidR="00DE41B6" w:rsidRPr="00B2478E" w:rsidRDefault="00DE41B6" w:rsidP="000E1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B2478E">
        <w:rPr>
          <w:rFonts w:ascii="PT Astra Serif" w:hAnsi="PT Astra Serif" w:cs="Times New Roman"/>
          <w:color w:val="000000" w:themeColor="text1"/>
          <w:sz w:val="28"/>
          <w:szCs w:val="28"/>
        </w:rPr>
        <w:t>прочие доходы от компенсации затрат бюджетов городских округов (иные возвраты и возмещения).</w:t>
      </w:r>
    </w:p>
    <w:p w14:paraId="0952877C" w14:textId="10AD76DC" w:rsidR="00DE41B6" w:rsidRPr="00B2478E" w:rsidRDefault="008231F3" w:rsidP="00B24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</w:pP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Поступления по указанн</w:t>
      </w:r>
      <w:r w:rsidR="00DE41B6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ым</w:t>
      </w: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 xml:space="preserve"> доход</w:t>
      </w:r>
      <w:r w:rsidR="00DE41B6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ам</w:t>
      </w: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 xml:space="preserve"> на очередной финансовый год </w:t>
      </w:r>
      <w:r w:rsid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 xml:space="preserve">             </w:t>
      </w: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и на плановый период п</w:t>
      </w:r>
      <w:r w:rsidR="000E18F9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рогнозируются на нулевом уровне, на текущий финансовый год – с учетом уточнения платежей за предыдущие отчетные периоды.</w:t>
      </w:r>
    </w:p>
    <w:p w14:paraId="3E244F07" w14:textId="77777777" w:rsidR="007C36E0" w:rsidRPr="00B2478E" w:rsidRDefault="007C36E0" w:rsidP="000415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</w:pP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2.</w:t>
      </w:r>
      <w:r w:rsidR="000E18F9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4</w:t>
      </w: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.</w:t>
      </w:r>
      <w:r w:rsidRPr="00B2478E">
        <w:rPr>
          <w:rFonts w:ascii="PT Astra Serif" w:hAnsi="PT Astra Serif"/>
          <w:color w:val="000000" w:themeColor="text1"/>
        </w:rPr>
        <w:t xml:space="preserve"> </w:t>
      </w: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Прогноз по доходам бюджета города,</w:t>
      </w:r>
      <w:r w:rsidR="00074A87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 xml:space="preserve"> </w:t>
      </w: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формируется главным специалистом</w:t>
      </w:r>
      <w:r w:rsidR="00002E72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-</w:t>
      </w: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бухгалтером главного администратора доходов.</w:t>
      </w:r>
    </w:p>
    <w:p w14:paraId="11F8951D" w14:textId="2CC58B5B" w:rsidR="005F5BE7" w:rsidRPr="00B2478E" w:rsidRDefault="005F5BE7" w:rsidP="000415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</w:pP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2.5</w:t>
      </w:r>
      <w:r w:rsidR="00D740C5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 xml:space="preserve">. </w:t>
      </w:r>
      <w:r w:rsidR="00D740C5" w:rsidRPr="00B2478E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При расчете прогнозного объема поступлений доходов в бюджет города Барнаула оценка ожидаемых результатов работы по взысканию задолженности по платежам в бюджет города Барнаула (за исключением задолженности, подлежащей учету на забалансовых счетах до принятия решения о ее восстановлении на балансовых счетах или списании </w:t>
      </w:r>
      <w:r w:rsidR="00B2478E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                      </w:t>
      </w:r>
      <w:r w:rsidR="00D740C5" w:rsidRPr="00B2478E">
        <w:rPr>
          <w:rFonts w:ascii="PT Astra Serif" w:hAnsi="PT Astra Serif" w:cs="Times New Roman"/>
          <w:color w:val="000000" w:themeColor="text1"/>
          <w:sz w:val="28"/>
          <w:szCs w:val="28"/>
        </w:rPr>
        <w:t>с забалансовых счетов) осуществляется исходя из задолженности, отраженной в бюджетной отчетности комитета муниципального заказа города Барнаула.»</w:t>
      </w:r>
    </w:p>
    <w:p w14:paraId="087D3DA6" w14:textId="77777777" w:rsidR="007C36E0" w:rsidRPr="00B2478E" w:rsidRDefault="007C36E0" w:rsidP="000415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</w:pP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2.</w:t>
      </w:r>
      <w:r w:rsidR="00D740C5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6</w:t>
      </w: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. Методика прогнозирования поступлений доходов в бюджет города, администрируемых главным администратором доходов, изложена в приложении.</w:t>
      </w:r>
    </w:p>
    <w:p w14:paraId="47B2C10D" w14:textId="77777777" w:rsidR="00234308" w:rsidRPr="00B2478E" w:rsidRDefault="00234308" w:rsidP="000415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sectPr w:rsidR="00234308" w:rsidRPr="00B2478E" w:rsidSect="002A1569">
          <w:headerReference w:type="even" r:id="rId7"/>
          <w:headerReference w:type="default" r:id="rId8"/>
          <w:headerReference w:type="first" r:id="rId9"/>
          <w:pgSz w:w="11906" w:h="16838"/>
          <w:pgMar w:top="1134" w:right="851" w:bottom="1134" w:left="1985" w:header="709" w:footer="709" w:gutter="0"/>
          <w:pgNumType w:start="1" w:chapStyle="1"/>
          <w:cols w:space="708"/>
          <w:titlePg/>
          <w:docGrid w:linePitch="360"/>
        </w:sectPr>
      </w:pPr>
    </w:p>
    <w:p w14:paraId="2FA4EEF5" w14:textId="77777777" w:rsidR="005F711C" w:rsidRPr="00B2478E" w:rsidRDefault="005F711C" w:rsidP="002A5FA0">
      <w:pPr>
        <w:widowControl w:val="0"/>
        <w:autoSpaceDE w:val="0"/>
        <w:autoSpaceDN w:val="0"/>
        <w:adjustRightInd w:val="0"/>
        <w:spacing w:after="0" w:line="240" w:lineRule="auto"/>
        <w:ind w:left="9498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</w:pP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lastRenderedPageBreak/>
        <w:t>Приложение</w:t>
      </w:r>
    </w:p>
    <w:p w14:paraId="657001AC" w14:textId="77777777" w:rsidR="00D728BF" w:rsidRPr="00B2478E" w:rsidRDefault="00D728BF" w:rsidP="002A5FA0">
      <w:pPr>
        <w:widowControl w:val="0"/>
        <w:autoSpaceDE w:val="0"/>
        <w:autoSpaceDN w:val="0"/>
        <w:adjustRightInd w:val="0"/>
        <w:spacing w:after="0" w:line="240" w:lineRule="auto"/>
        <w:ind w:left="9498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</w:pP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 xml:space="preserve">к методике прогнозирования </w:t>
      </w:r>
    </w:p>
    <w:p w14:paraId="14FD0711" w14:textId="77777777" w:rsidR="00D728BF" w:rsidRPr="00B2478E" w:rsidRDefault="00D728BF" w:rsidP="002A5FA0">
      <w:pPr>
        <w:widowControl w:val="0"/>
        <w:autoSpaceDE w:val="0"/>
        <w:autoSpaceDN w:val="0"/>
        <w:adjustRightInd w:val="0"/>
        <w:spacing w:after="0" w:line="240" w:lineRule="auto"/>
        <w:ind w:left="9498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</w:pP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поступлений доходов в бюджет города</w:t>
      </w:r>
      <w:r w:rsidR="002A5FA0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 </w:t>
      </w: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Барнау</w:t>
      </w:r>
      <w:r w:rsidR="002A5FA0"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ла, </w:t>
      </w: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  <w:t>администрируемых комитетом муниципального заказа города Барнаула</w:t>
      </w:r>
    </w:p>
    <w:p w14:paraId="4A04DA03" w14:textId="77777777" w:rsidR="00A35A80" w:rsidRPr="00B2478E" w:rsidRDefault="00A35A80" w:rsidP="00A35A80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</w:p>
    <w:p w14:paraId="372C7FD4" w14:textId="77777777" w:rsidR="00A35A80" w:rsidRPr="00B2478E" w:rsidRDefault="00A35A80" w:rsidP="00A35A80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МЕТОДИКА</w:t>
      </w:r>
    </w:p>
    <w:p w14:paraId="4130C095" w14:textId="77777777" w:rsidR="00A35A80" w:rsidRPr="00B2478E" w:rsidRDefault="00A35A80" w:rsidP="00A35A80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прогнозирования поступлений доходов в бюджет города Барнаула</w:t>
      </w:r>
      <w:r w:rsidRPr="00B2478E">
        <w:rPr>
          <w:rFonts w:ascii="PT Astra Serif" w:hAnsi="PT Astra Serif"/>
          <w:color w:val="000000" w:themeColor="text1"/>
        </w:rPr>
        <w:t xml:space="preserve">, </w:t>
      </w:r>
      <w:r w:rsidRPr="00B2478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администрируемых комитетом муниципального заказа города Барнаула</w:t>
      </w:r>
    </w:p>
    <w:p w14:paraId="0658E26F" w14:textId="77777777" w:rsidR="00B9607F" w:rsidRPr="00B2478E" w:rsidRDefault="00B9607F" w:rsidP="002A5FA0">
      <w:pPr>
        <w:widowControl w:val="0"/>
        <w:autoSpaceDE w:val="0"/>
        <w:autoSpaceDN w:val="0"/>
        <w:adjustRightInd w:val="0"/>
        <w:spacing w:after="0" w:line="240" w:lineRule="auto"/>
        <w:ind w:left="9498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</w:pPr>
    </w:p>
    <w:tbl>
      <w:tblPr>
        <w:tblStyle w:val="a5"/>
        <w:tblW w:w="14148" w:type="dxa"/>
        <w:tblLayout w:type="fixed"/>
        <w:tblLook w:val="04A0" w:firstRow="1" w:lastRow="0" w:firstColumn="1" w:lastColumn="0" w:noHBand="0" w:noVBand="1"/>
      </w:tblPr>
      <w:tblGrid>
        <w:gridCol w:w="414"/>
        <w:gridCol w:w="1821"/>
        <w:gridCol w:w="1842"/>
        <w:gridCol w:w="1701"/>
        <w:gridCol w:w="1925"/>
        <w:gridCol w:w="1619"/>
        <w:gridCol w:w="1134"/>
        <w:gridCol w:w="1843"/>
        <w:gridCol w:w="1849"/>
      </w:tblGrid>
      <w:tr w:rsidR="00B9607F" w:rsidRPr="00B2478E" w14:paraId="5E45B569" w14:textId="77777777" w:rsidTr="009449CB">
        <w:trPr>
          <w:trHeight w:val="97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68AF" w14:textId="77777777" w:rsidR="00B9607F" w:rsidRPr="00B2478E" w:rsidRDefault="00B9607F" w:rsidP="001A03FC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№</w:t>
            </w:r>
          </w:p>
          <w:p w14:paraId="0703C96F" w14:textId="77777777" w:rsidR="00B9607F" w:rsidRPr="00B2478E" w:rsidRDefault="00B9607F" w:rsidP="001A03FC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п/п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6238" w14:textId="77777777" w:rsidR="00B9607F" w:rsidRPr="00B2478E" w:rsidRDefault="00B9607F" w:rsidP="001A03FC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Код главного администратора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CF58" w14:textId="77777777" w:rsidR="00B9607F" w:rsidRPr="00B2478E" w:rsidRDefault="00B9607F" w:rsidP="001A03FC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Наименование главного администратора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2402" w14:textId="77777777" w:rsidR="00B9607F" w:rsidRPr="00B2478E" w:rsidRDefault="00B9607F" w:rsidP="001A03FC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КБК</w:t>
            </w:r>
            <w:r w:rsidR="0021649A" w:rsidRPr="00B2478E">
              <w:rPr>
                <w:rStyle w:val="ad"/>
                <w:rFonts w:ascii="PT Astra Serif" w:hAnsi="PT Astra Serif"/>
                <w:color w:val="000000" w:themeColor="text1"/>
              </w:rPr>
              <w:footnoteReference w:id="1"/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2DAE" w14:textId="77777777" w:rsidR="00B9607F" w:rsidRPr="00B2478E" w:rsidRDefault="00B9607F" w:rsidP="001A03FC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Наименование КБК доходов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3497" w14:textId="77777777" w:rsidR="00B9607F" w:rsidRPr="00B2478E" w:rsidRDefault="00B9607F" w:rsidP="001A03FC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Наименование метода расчета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7088" w14:textId="77777777" w:rsidR="00B9607F" w:rsidRPr="00B2478E" w:rsidRDefault="00B9607F" w:rsidP="001A03FC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Формула расчета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C58E" w14:textId="77777777" w:rsidR="00B9607F" w:rsidRPr="00B2478E" w:rsidRDefault="00B9607F" w:rsidP="001A03FC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Алгоритм расчета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C29C" w14:textId="77777777" w:rsidR="00B9607F" w:rsidRPr="00B2478E" w:rsidRDefault="00B9607F" w:rsidP="001A03FC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Описание показателей</w:t>
            </w:r>
          </w:p>
        </w:tc>
      </w:tr>
    </w:tbl>
    <w:p w14:paraId="334D55B6" w14:textId="77777777" w:rsidR="00B9607F" w:rsidRPr="00B2478E" w:rsidRDefault="00B9607F" w:rsidP="000415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0"/>
          <w:lang w:eastAsia="ru-RU"/>
        </w:rPr>
      </w:pPr>
    </w:p>
    <w:tbl>
      <w:tblPr>
        <w:tblStyle w:val="a5"/>
        <w:tblW w:w="14148" w:type="dxa"/>
        <w:tblLayout w:type="fixed"/>
        <w:tblLook w:val="04A0" w:firstRow="1" w:lastRow="0" w:firstColumn="1" w:lastColumn="0" w:noHBand="0" w:noVBand="1"/>
      </w:tblPr>
      <w:tblGrid>
        <w:gridCol w:w="414"/>
        <w:gridCol w:w="1821"/>
        <w:gridCol w:w="1842"/>
        <w:gridCol w:w="1701"/>
        <w:gridCol w:w="1925"/>
        <w:gridCol w:w="1619"/>
        <w:gridCol w:w="1134"/>
        <w:gridCol w:w="1843"/>
        <w:gridCol w:w="1849"/>
      </w:tblGrid>
      <w:tr w:rsidR="00B2478E" w:rsidRPr="00B2478E" w14:paraId="00244319" w14:textId="77777777" w:rsidTr="0021649A">
        <w:trPr>
          <w:trHeight w:val="68"/>
          <w:tblHeader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F56B" w14:textId="77777777" w:rsidR="00B9607F" w:rsidRPr="00B2478E" w:rsidRDefault="00B9607F" w:rsidP="00B9607F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DC98" w14:textId="77777777" w:rsidR="00B9607F" w:rsidRPr="00B2478E" w:rsidRDefault="00B9607F" w:rsidP="00B9607F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7B14" w14:textId="77777777" w:rsidR="00B9607F" w:rsidRPr="00B2478E" w:rsidRDefault="00B9607F" w:rsidP="00B9607F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6929" w14:textId="77777777" w:rsidR="00B9607F" w:rsidRPr="00B2478E" w:rsidRDefault="00B9607F" w:rsidP="00B9607F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1AE4" w14:textId="77777777" w:rsidR="00B9607F" w:rsidRPr="00B2478E" w:rsidRDefault="00B9607F" w:rsidP="00B9607F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843A" w14:textId="77777777" w:rsidR="00B9607F" w:rsidRPr="00B2478E" w:rsidRDefault="00B9607F" w:rsidP="00B9607F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9862" w14:textId="77777777" w:rsidR="00B9607F" w:rsidRPr="00B2478E" w:rsidRDefault="00B9607F" w:rsidP="00B9607F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D659" w14:textId="77777777" w:rsidR="00B9607F" w:rsidRPr="00B2478E" w:rsidRDefault="00B9607F" w:rsidP="00B9607F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D9A4" w14:textId="77777777" w:rsidR="00B9607F" w:rsidRPr="00B2478E" w:rsidRDefault="00B9607F" w:rsidP="00B9607F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9</w:t>
            </w:r>
          </w:p>
        </w:tc>
      </w:tr>
      <w:tr w:rsidR="00B2478E" w:rsidRPr="00B2478E" w14:paraId="1F7306F5" w14:textId="77777777" w:rsidTr="0021649A">
        <w:trPr>
          <w:trHeight w:val="18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B362" w14:textId="77777777" w:rsidR="00234308" w:rsidRPr="00B2478E" w:rsidRDefault="00234308" w:rsidP="009E1395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6AE7" w14:textId="77777777" w:rsidR="00234308" w:rsidRPr="00B2478E" w:rsidRDefault="00234308" w:rsidP="009E1395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909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FFE5" w14:textId="77777777" w:rsidR="00234308" w:rsidRPr="00B2478E" w:rsidRDefault="00234308" w:rsidP="009E1395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Комитет муниципального заказа города Барнаула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B289" w14:textId="77777777" w:rsidR="00234308" w:rsidRPr="00B2478E" w:rsidRDefault="009E1395" w:rsidP="009E1395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11610061040000</w:t>
            </w:r>
            <w:r w:rsidR="00234308" w:rsidRPr="00B2478E">
              <w:rPr>
                <w:rFonts w:ascii="PT Astra Serif" w:hAnsi="PT Astra Serif"/>
                <w:color w:val="000000" w:themeColor="text1"/>
              </w:rPr>
              <w:t>140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EA0B" w14:textId="77777777" w:rsidR="00234308" w:rsidRPr="00B2478E" w:rsidRDefault="00234308" w:rsidP="009E1395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</w:t>
            </w:r>
            <w:r w:rsidRPr="00B2478E">
              <w:rPr>
                <w:rFonts w:ascii="PT Astra Serif" w:hAnsi="PT Astra Serif"/>
                <w:color w:val="000000" w:themeColor="text1"/>
              </w:rPr>
              <w:lastRenderedPageBreak/>
              <w:t>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6B48" w14:textId="77777777" w:rsidR="00234308" w:rsidRPr="00B2478E" w:rsidRDefault="00074A87" w:rsidP="009E1395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lastRenderedPageBreak/>
              <w:t>Метод прямого расчета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8758" w14:textId="77777777" w:rsidR="00234308" w:rsidRPr="00B2478E" w:rsidRDefault="00D10DC5" w:rsidP="009E1395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  <w:shd w:val="clear" w:color="auto" w:fill="FFFFFF"/>
              </w:rPr>
              <w:t>Дшкс</w:t>
            </w:r>
            <w:r w:rsidR="00074A87" w:rsidRPr="00B2478E">
              <w:rPr>
                <w:rFonts w:ascii="PT Astra Serif" w:hAnsi="PT Astra Serif"/>
                <w:color w:val="000000" w:themeColor="text1"/>
                <w:vertAlign w:val="subscript"/>
              </w:rPr>
              <w:t xml:space="preserve"> </w:t>
            </w:r>
            <w:r w:rsidR="00074A87" w:rsidRPr="00B2478E">
              <w:rPr>
                <w:rFonts w:ascii="PT Astra Serif" w:hAnsi="PT Astra Serif"/>
                <w:color w:val="000000" w:themeColor="text1"/>
              </w:rPr>
              <w:t xml:space="preserve">= </w:t>
            </w:r>
            <w:r w:rsidRPr="00B2478E">
              <w:rPr>
                <w:rFonts w:ascii="PT Astra Serif" w:hAnsi="PT Astra Serif"/>
                <w:color w:val="000000" w:themeColor="text1"/>
                <w:shd w:val="clear" w:color="auto" w:fill="FFFFFF"/>
              </w:rPr>
              <w:t>Зшкс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FAD0" w14:textId="77777777" w:rsidR="00074A87" w:rsidRPr="00B2478E" w:rsidRDefault="00074A87" w:rsidP="00074A87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 xml:space="preserve">Поступление указанных доходов носит непостоянный (разовый) характер, при расчете учитывается только </w:t>
            </w:r>
            <w:r w:rsidR="007F1A58" w:rsidRPr="00B2478E">
              <w:rPr>
                <w:rFonts w:ascii="PT Astra Serif" w:hAnsi="PT Astra Serif"/>
                <w:color w:val="000000" w:themeColor="text1"/>
              </w:rPr>
              <w:t>ожидаемая</w:t>
            </w:r>
            <w:r w:rsidRPr="00B2478E">
              <w:rPr>
                <w:rFonts w:ascii="PT Astra Serif" w:hAnsi="PT Astra Serif"/>
                <w:color w:val="000000" w:themeColor="text1"/>
              </w:rPr>
              <w:t xml:space="preserve"> сумма поступления дебиторской задолженности</w:t>
            </w:r>
          </w:p>
          <w:p w14:paraId="0CDCA7C0" w14:textId="77777777" w:rsidR="00074A87" w:rsidRPr="00B2478E" w:rsidRDefault="00074A87" w:rsidP="00074A87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lastRenderedPageBreak/>
              <w:t>по данному коду бюджетной классификации, взыскиваемая</w:t>
            </w:r>
          </w:p>
          <w:p w14:paraId="081C2E58" w14:textId="77777777" w:rsidR="00074A87" w:rsidRPr="00B2478E" w:rsidRDefault="00074A87" w:rsidP="00074A87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по исполнительным листам, мировым соглашениям (далее – дебиторская задолженность</w:t>
            </w:r>
          </w:p>
          <w:p w14:paraId="3C2AA549" w14:textId="77777777" w:rsidR="00074A87" w:rsidRPr="00B2478E" w:rsidRDefault="00074A87" w:rsidP="00074A87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по доходам</w:t>
            </w:r>
          </w:p>
          <w:p w14:paraId="4B13A7A7" w14:textId="77777777" w:rsidR="00074A87" w:rsidRPr="00B2478E" w:rsidRDefault="00074A87" w:rsidP="00074A87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от возмещения убытков, причиненных уклонением</w:t>
            </w:r>
          </w:p>
          <w:p w14:paraId="4C138C1B" w14:textId="77777777" w:rsidR="00234308" w:rsidRPr="00B2478E" w:rsidRDefault="00074A87" w:rsidP="00074A87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от заключения муниципального контракта)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CADE" w14:textId="77777777" w:rsidR="00074A87" w:rsidRPr="00B2478E" w:rsidRDefault="00D10DC5" w:rsidP="00074A87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lastRenderedPageBreak/>
              <w:t>Дшкс</w:t>
            </w:r>
            <w:r w:rsidR="00074A87" w:rsidRPr="00B2478E">
              <w:rPr>
                <w:rFonts w:ascii="PT Astra Serif" w:hAnsi="PT Astra Serif"/>
                <w:color w:val="000000" w:themeColor="text1"/>
              </w:rPr>
              <w:t xml:space="preserve"> – прогнозный объем поступления в расчетном году доходов</w:t>
            </w:r>
          </w:p>
          <w:p w14:paraId="115D5F13" w14:textId="77777777" w:rsidR="00074A87" w:rsidRPr="00B2478E" w:rsidRDefault="00074A87" w:rsidP="00074A87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от возмещения убытков, причиненных уклонением</w:t>
            </w:r>
          </w:p>
          <w:p w14:paraId="461506C3" w14:textId="77777777" w:rsidR="00074A87" w:rsidRPr="00B2478E" w:rsidRDefault="00074A87" w:rsidP="00074A87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от заключения муниципального контракта;</w:t>
            </w:r>
          </w:p>
          <w:p w14:paraId="2FB13CC9" w14:textId="77777777" w:rsidR="00074A87" w:rsidRPr="00B2478E" w:rsidRDefault="00D10DC5" w:rsidP="00074A87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Зшкс</w:t>
            </w:r>
            <w:r w:rsidR="00074A87" w:rsidRPr="00B2478E">
              <w:rPr>
                <w:rFonts w:ascii="PT Astra Serif" w:hAnsi="PT Astra Serif"/>
                <w:color w:val="000000" w:themeColor="text1"/>
              </w:rPr>
              <w:t xml:space="preserve"> – </w:t>
            </w:r>
            <w:r w:rsidR="00A35A80" w:rsidRPr="00B2478E">
              <w:rPr>
                <w:rFonts w:ascii="PT Astra Serif" w:hAnsi="PT Astra Serif"/>
                <w:color w:val="000000" w:themeColor="text1"/>
              </w:rPr>
              <w:lastRenderedPageBreak/>
              <w:t>ожидаемая</w:t>
            </w:r>
          </w:p>
          <w:p w14:paraId="3D75AB9C" w14:textId="77777777" w:rsidR="00074A87" w:rsidRPr="00B2478E" w:rsidRDefault="00074A87" w:rsidP="00074A87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в расчетном году сумма поступления дебиторской задолженности</w:t>
            </w:r>
          </w:p>
          <w:p w14:paraId="6645492D" w14:textId="77777777" w:rsidR="00074A87" w:rsidRPr="00B2478E" w:rsidRDefault="00074A87" w:rsidP="00074A87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по доходам</w:t>
            </w:r>
          </w:p>
          <w:p w14:paraId="0B152475" w14:textId="77777777" w:rsidR="00074A87" w:rsidRPr="00B2478E" w:rsidRDefault="00074A87" w:rsidP="00074A87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от возмещения убытков, причиненных уклонением</w:t>
            </w:r>
          </w:p>
          <w:p w14:paraId="45245F91" w14:textId="77777777" w:rsidR="00234308" w:rsidRPr="00B2478E" w:rsidRDefault="00074A87" w:rsidP="00074A87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от заключения муниципального контракта</w:t>
            </w:r>
          </w:p>
        </w:tc>
      </w:tr>
      <w:tr w:rsidR="00B2478E" w:rsidRPr="00B2478E" w14:paraId="08D924B8" w14:textId="77777777" w:rsidTr="009449CB">
        <w:trPr>
          <w:trHeight w:val="13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B135" w14:textId="77777777" w:rsidR="009E1395" w:rsidRPr="00B2478E" w:rsidRDefault="009E1395" w:rsidP="009E1395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lastRenderedPageBreak/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0DAD" w14:textId="77777777" w:rsidR="009E1395" w:rsidRPr="00B2478E" w:rsidRDefault="009E1395" w:rsidP="009E1395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909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945F" w14:textId="77777777" w:rsidR="009E1395" w:rsidRPr="00B2478E" w:rsidRDefault="00A35A80" w:rsidP="009E1395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Комитет муниципального заказа города Барнаула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B0FD" w14:textId="77777777" w:rsidR="009E1395" w:rsidRPr="00B2478E" w:rsidRDefault="009E1395" w:rsidP="009E1395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11701040040000180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C7C0" w14:textId="77777777" w:rsidR="009E1395" w:rsidRPr="00B2478E" w:rsidRDefault="00802925" w:rsidP="009E1395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1C0A" w14:textId="77777777" w:rsidR="009E1395" w:rsidRPr="00B2478E" w:rsidRDefault="00BC3789" w:rsidP="009E1395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Иной 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9F40" w14:textId="77777777" w:rsidR="009E1395" w:rsidRPr="00B2478E" w:rsidRDefault="009E1395" w:rsidP="009E1395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1824" w14:textId="77777777" w:rsidR="009E1395" w:rsidRPr="00B2478E" w:rsidRDefault="00BC3789" w:rsidP="009E1395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 xml:space="preserve">Данный код дохода предусмотрен для зачисления платежей, в которых неверно указаны (не </w:t>
            </w:r>
            <w:r w:rsidRPr="00B2478E">
              <w:rPr>
                <w:rFonts w:ascii="PT Astra Serif" w:hAnsi="PT Astra Serif"/>
                <w:color w:val="000000" w:themeColor="text1"/>
              </w:rPr>
              <w:lastRenderedPageBreak/>
              <w:t>указаны) реквизиты платежа и которые подлежат уточнению по соответствующему коду дохода. На очередной финансовый год и на плановый период не прогнозируются, уточненный прогноз на текущий финансовый год формируется с учетом уточнения платежей за предыдущие отчетные периоды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F844" w14:textId="77777777" w:rsidR="009E1395" w:rsidRPr="00B2478E" w:rsidRDefault="00BC3789" w:rsidP="009E1395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lastRenderedPageBreak/>
              <w:t xml:space="preserve">Источник данных - бюджетная отчетность комитета муниципального заказа города </w:t>
            </w:r>
            <w:r w:rsidRPr="00B2478E">
              <w:rPr>
                <w:rFonts w:ascii="PT Astra Serif" w:hAnsi="PT Astra Serif"/>
                <w:color w:val="000000" w:themeColor="text1"/>
              </w:rPr>
              <w:lastRenderedPageBreak/>
              <w:t>Барнаула</w:t>
            </w:r>
          </w:p>
        </w:tc>
      </w:tr>
      <w:tr w:rsidR="00DE41B6" w:rsidRPr="00B2478E" w14:paraId="24ECC758" w14:textId="77777777" w:rsidTr="009449CB">
        <w:trPr>
          <w:trHeight w:val="13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5C6C" w14:textId="77777777" w:rsidR="00DE41B6" w:rsidRPr="00B2478E" w:rsidRDefault="00DE41B6" w:rsidP="009E1395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lastRenderedPageBreak/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49D8" w14:textId="77777777" w:rsidR="00DE41B6" w:rsidRPr="00B2478E" w:rsidRDefault="00DE41B6" w:rsidP="009E1395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909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9633" w14:textId="77777777" w:rsidR="00DE41B6" w:rsidRPr="00B2478E" w:rsidRDefault="00DE41B6" w:rsidP="009E1395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Комитет муниципального заказа города Барнаула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D4E2" w14:textId="77777777" w:rsidR="00DE41B6" w:rsidRPr="00B2478E" w:rsidRDefault="00DE41B6" w:rsidP="009E1395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11302994040015130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97F9" w14:textId="77777777" w:rsidR="00DE41B6" w:rsidRPr="00B2478E" w:rsidRDefault="00DE41B6" w:rsidP="009E1395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Прочие доходы от компенсации затрат бюджетов городских округов (иные возвраты и возмещения)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27CE" w14:textId="77777777" w:rsidR="00DE41B6" w:rsidRPr="00B2478E" w:rsidRDefault="00DE41B6" w:rsidP="009E1395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>Иной 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BAC4" w14:textId="77777777" w:rsidR="00DE41B6" w:rsidRPr="00B2478E" w:rsidRDefault="00DE41B6" w:rsidP="009E1395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C21" w14:textId="77777777" w:rsidR="00DE41B6" w:rsidRPr="00B2478E" w:rsidRDefault="00DE41B6" w:rsidP="009E1395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t xml:space="preserve">Поступление доходов имеет несистемный, нерегулярный характер, на очередной финансовый год и на плановый период прогнозируются на нулевом уровне, </w:t>
            </w:r>
            <w:r w:rsidRPr="00B2478E">
              <w:rPr>
                <w:rFonts w:ascii="PT Astra Serif" w:hAnsi="PT Astra Serif"/>
                <w:color w:val="000000" w:themeColor="text1"/>
              </w:rPr>
              <w:lastRenderedPageBreak/>
              <w:t>уточненный прогноз на текущий финансовый год формируется с учетом фактического поступления за истекшие месяцы текущего года и оценки поступлений в целом за текущий год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3067" w14:textId="77777777" w:rsidR="00DE41B6" w:rsidRPr="00B2478E" w:rsidRDefault="00DE41B6" w:rsidP="009E1395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2478E">
              <w:rPr>
                <w:rFonts w:ascii="PT Astra Serif" w:hAnsi="PT Astra Serif"/>
                <w:color w:val="000000" w:themeColor="text1"/>
              </w:rPr>
              <w:lastRenderedPageBreak/>
              <w:t>Источник данных - бюджетная отчетность комитета муниципального заказа города Барнаула</w:t>
            </w:r>
          </w:p>
        </w:tc>
      </w:tr>
    </w:tbl>
    <w:p w14:paraId="2AA85256" w14:textId="77777777" w:rsidR="00AE6DAB" w:rsidRPr="00B2478E" w:rsidRDefault="00AE6DAB" w:rsidP="00B960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166B7F24" w14:textId="77777777" w:rsidR="000A5F6F" w:rsidRPr="00B2478E" w:rsidRDefault="000A5F6F" w:rsidP="007278A8">
      <w:pP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sectPr w:rsidR="000A5F6F" w:rsidRPr="00B2478E" w:rsidSect="005A6D2D">
      <w:headerReference w:type="default" r:id="rId10"/>
      <w:pgSz w:w="16838" w:h="11906" w:orient="landscape"/>
      <w:pgMar w:top="1134" w:right="851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62373" w14:textId="77777777" w:rsidR="003E293E" w:rsidRDefault="003E293E" w:rsidP="00D728BF">
      <w:pPr>
        <w:spacing w:after="0" w:line="240" w:lineRule="auto"/>
      </w:pPr>
      <w:r>
        <w:separator/>
      </w:r>
    </w:p>
  </w:endnote>
  <w:endnote w:type="continuationSeparator" w:id="0">
    <w:p w14:paraId="6E24672B" w14:textId="77777777" w:rsidR="003E293E" w:rsidRDefault="003E293E" w:rsidP="00D72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FF8D4" w14:textId="77777777" w:rsidR="003E293E" w:rsidRDefault="003E293E" w:rsidP="00D728BF">
      <w:pPr>
        <w:spacing w:after="0" w:line="240" w:lineRule="auto"/>
      </w:pPr>
      <w:r>
        <w:separator/>
      </w:r>
    </w:p>
  </w:footnote>
  <w:footnote w:type="continuationSeparator" w:id="0">
    <w:p w14:paraId="029642C9" w14:textId="77777777" w:rsidR="003E293E" w:rsidRDefault="003E293E" w:rsidP="00D728BF">
      <w:pPr>
        <w:spacing w:after="0" w:line="240" w:lineRule="auto"/>
      </w:pPr>
      <w:r>
        <w:continuationSeparator/>
      </w:r>
    </w:p>
  </w:footnote>
  <w:footnote w:id="1">
    <w:p w14:paraId="1E9CB793" w14:textId="77777777" w:rsidR="0021649A" w:rsidRPr="00E2515A" w:rsidRDefault="0021649A">
      <w:pPr>
        <w:pStyle w:val="ab"/>
        <w:rPr>
          <w:rFonts w:ascii="Times New Roman" w:hAnsi="Times New Roman" w:cs="Times New Roman"/>
          <w:sz w:val="28"/>
          <w:szCs w:val="28"/>
        </w:rPr>
      </w:pPr>
      <w:r w:rsidRPr="00E2515A">
        <w:rPr>
          <w:rStyle w:val="ad"/>
          <w:rFonts w:ascii="Times New Roman" w:hAnsi="Times New Roman" w:cs="Times New Roman"/>
          <w:sz w:val="28"/>
          <w:szCs w:val="28"/>
        </w:rPr>
        <w:footnoteRef/>
      </w:r>
      <w:r w:rsidRPr="00E2515A">
        <w:rPr>
          <w:rFonts w:ascii="Times New Roman" w:hAnsi="Times New Roman" w:cs="Times New Roman"/>
          <w:sz w:val="28"/>
          <w:szCs w:val="28"/>
        </w:rPr>
        <w:t xml:space="preserve"> </w:t>
      </w:r>
      <w:r w:rsidR="00E2515A" w:rsidRPr="00E2515A">
        <w:rPr>
          <w:rFonts w:ascii="Times New Roman" w:hAnsi="Times New Roman" w:cs="Times New Roman"/>
          <w:sz w:val="28"/>
          <w:szCs w:val="28"/>
        </w:rPr>
        <w:t>КБК - к</w:t>
      </w:r>
      <w:r w:rsidRPr="00E2515A">
        <w:rPr>
          <w:rFonts w:ascii="Times New Roman" w:hAnsi="Times New Roman" w:cs="Times New Roman"/>
          <w:sz w:val="28"/>
          <w:szCs w:val="28"/>
        </w:rPr>
        <w:t>од бюджетной классификации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C6CD" w14:textId="77777777" w:rsidR="005A6D2D" w:rsidRPr="005A6D2D" w:rsidRDefault="007278A8">
    <w:pPr>
      <w:pStyle w:val="a6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  <w:p w14:paraId="56766CC1" w14:textId="77777777" w:rsidR="002A1569" w:rsidRDefault="002A156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98451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380663A" w14:textId="77777777" w:rsidR="002A1569" w:rsidRPr="002A1569" w:rsidRDefault="002A1569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A156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A156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A1569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A156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FDE783E" w14:textId="77777777" w:rsidR="002A1569" w:rsidRDefault="002A156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487D" w14:textId="77777777" w:rsidR="002A1569" w:rsidRPr="002A1569" w:rsidRDefault="002A1569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14:paraId="530EA7BE" w14:textId="77777777" w:rsidR="002A1569" w:rsidRDefault="002A1569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EAD81" w14:textId="77777777" w:rsidR="002A1569" w:rsidRPr="002A1569" w:rsidRDefault="002A1569">
    <w:pPr>
      <w:pStyle w:val="a6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3</w:t>
    </w:r>
  </w:p>
  <w:p w14:paraId="428303CE" w14:textId="77777777" w:rsidR="002A1569" w:rsidRDefault="002A156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D10"/>
    <w:rsid w:val="00002E72"/>
    <w:rsid w:val="00013CD0"/>
    <w:rsid w:val="000403AC"/>
    <w:rsid w:val="000415AC"/>
    <w:rsid w:val="00044053"/>
    <w:rsid w:val="000678EE"/>
    <w:rsid w:val="00074A87"/>
    <w:rsid w:val="00080514"/>
    <w:rsid w:val="00085780"/>
    <w:rsid w:val="000A5C5D"/>
    <w:rsid w:val="000A5F6F"/>
    <w:rsid w:val="000C1A77"/>
    <w:rsid w:val="000E18F9"/>
    <w:rsid w:val="001243E0"/>
    <w:rsid w:val="00172230"/>
    <w:rsid w:val="001E6FE6"/>
    <w:rsid w:val="0021649A"/>
    <w:rsid w:val="00234308"/>
    <w:rsid w:val="00243C35"/>
    <w:rsid w:val="002A1569"/>
    <w:rsid w:val="002A5FA0"/>
    <w:rsid w:val="002B2A90"/>
    <w:rsid w:val="002D0BA9"/>
    <w:rsid w:val="002D7EDE"/>
    <w:rsid w:val="002F1741"/>
    <w:rsid w:val="0031638B"/>
    <w:rsid w:val="003B3096"/>
    <w:rsid w:val="003E293E"/>
    <w:rsid w:val="00472968"/>
    <w:rsid w:val="004A606C"/>
    <w:rsid w:val="004C76AD"/>
    <w:rsid w:val="004F4752"/>
    <w:rsid w:val="0050007C"/>
    <w:rsid w:val="00524AA6"/>
    <w:rsid w:val="00533EFD"/>
    <w:rsid w:val="00541992"/>
    <w:rsid w:val="005A6D2D"/>
    <w:rsid w:val="005D4801"/>
    <w:rsid w:val="005F5BE7"/>
    <w:rsid w:val="005F711C"/>
    <w:rsid w:val="00611752"/>
    <w:rsid w:val="0061552F"/>
    <w:rsid w:val="00622032"/>
    <w:rsid w:val="00655AFF"/>
    <w:rsid w:val="006733D8"/>
    <w:rsid w:val="006E7EF1"/>
    <w:rsid w:val="007278A8"/>
    <w:rsid w:val="007B4C22"/>
    <w:rsid w:val="007C36E0"/>
    <w:rsid w:val="007F1A58"/>
    <w:rsid w:val="00802925"/>
    <w:rsid w:val="008231F3"/>
    <w:rsid w:val="0082631B"/>
    <w:rsid w:val="008713C7"/>
    <w:rsid w:val="008F0A3E"/>
    <w:rsid w:val="009449CB"/>
    <w:rsid w:val="009A4A1F"/>
    <w:rsid w:val="009E1395"/>
    <w:rsid w:val="009F57FC"/>
    <w:rsid w:val="00A023C7"/>
    <w:rsid w:val="00A35A80"/>
    <w:rsid w:val="00A9736F"/>
    <w:rsid w:val="00AE2029"/>
    <w:rsid w:val="00AE4804"/>
    <w:rsid w:val="00AE6DAB"/>
    <w:rsid w:val="00B2478E"/>
    <w:rsid w:val="00B32957"/>
    <w:rsid w:val="00B9607F"/>
    <w:rsid w:val="00BB7E87"/>
    <w:rsid w:val="00BC3789"/>
    <w:rsid w:val="00C10054"/>
    <w:rsid w:val="00C333B3"/>
    <w:rsid w:val="00C40024"/>
    <w:rsid w:val="00C65C84"/>
    <w:rsid w:val="00D038D3"/>
    <w:rsid w:val="00D10DC5"/>
    <w:rsid w:val="00D10FC3"/>
    <w:rsid w:val="00D53D10"/>
    <w:rsid w:val="00D728BF"/>
    <w:rsid w:val="00D73D07"/>
    <w:rsid w:val="00D73E37"/>
    <w:rsid w:val="00D740C5"/>
    <w:rsid w:val="00DB3DC5"/>
    <w:rsid w:val="00DC2E2C"/>
    <w:rsid w:val="00DC4266"/>
    <w:rsid w:val="00DE41B6"/>
    <w:rsid w:val="00E2515A"/>
    <w:rsid w:val="00F21A99"/>
    <w:rsid w:val="00F37562"/>
    <w:rsid w:val="00FA4A5B"/>
    <w:rsid w:val="00FC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00F2"/>
  <w15:docId w15:val="{8924A9FC-464F-44C1-810E-51FB3E6B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E3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343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2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28BF"/>
  </w:style>
  <w:style w:type="paragraph" w:styleId="a8">
    <w:name w:val="footer"/>
    <w:basedOn w:val="a"/>
    <w:link w:val="a9"/>
    <w:uiPriority w:val="99"/>
    <w:unhideWhenUsed/>
    <w:rsid w:val="00D72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28BF"/>
  </w:style>
  <w:style w:type="paragraph" w:styleId="aa">
    <w:name w:val="List Paragraph"/>
    <w:basedOn w:val="a"/>
    <w:uiPriority w:val="34"/>
    <w:qFormat/>
    <w:rsid w:val="00533EFD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BC378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C378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C37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0305B-488D-448B-B5F4-E5CD7869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6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О. Кошелева</dc:creator>
  <cp:keywords/>
  <dc:description/>
  <cp:lastModifiedBy>Екатерина Ф. Екшибарова</cp:lastModifiedBy>
  <cp:revision>51</cp:revision>
  <cp:lastPrinted>2026-03-06T01:57:00Z</cp:lastPrinted>
  <dcterms:created xsi:type="dcterms:W3CDTF">2022-05-26T02:12:00Z</dcterms:created>
  <dcterms:modified xsi:type="dcterms:W3CDTF">2026-03-12T06:21:00Z</dcterms:modified>
</cp:coreProperties>
</file>